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620CA" w14:textId="77777777" w:rsidR="006312DA" w:rsidRDefault="00AF061E">
      <w:r>
        <w:rPr>
          <w:rFonts w:ascii="Tms Rmn" w:hAnsi="Tms Rmn"/>
          <w:noProof/>
          <w:sz w:val="24"/>
          <w:szCs w:val="24"/>
          <w:lang w:eastAsia="en-GB"/>
        </w:rPr>
        <w:drawing>
          <wp:inline distT="0" distB="0" distL="0" distR="0" wp14:anchorId="61D38CDD" wp14:editId="0BCFE463">
            <wp:extent cx="1467485" cy="72326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67485" cy="723265"/>
                    </a:xfrm>
                    <a:prstGeom prst="rect">
                      <a:avLst/>
                    </a:prstGeom>
                    <a:noFill/>
                    <a:ln w="9525">
                      <a:noFill/>
                      <a:miter lim="800000"/>
                      <a:headEnd/>
                      <a:tailEnd/>
                    </a:ln>
                  </pic:spPr>
                </pic:pic>
              </a:graphicData>
            </a:graphic>
          </wp:inline>
        </w:drawing>
      </w:r>
    </w:p>
    <w:p w14:paraId="39D4E237" w14:textId="77777777" w:rsidR="006B50F3" w:rsidRDefault="006B50F3"/>
    <w:p w14:paraId="36F722FC" w14:textId="77777777" w:rsidR="00BF1D74" w:rsidRPr="00222165" w:rsidRDefault="008B1C33" w:rsidP="00222165">
      <w:pPr>
        <w:jc w:val="center"/>
        <w:rPr>
          <w:b/>
          <w:sz w:val="28"/>
          <w:szCs w:val="28"/>
        </w:rPr>
      </w:pPr>
      <w:r w:rsidRPr="00222165">
        <w:rPr>
          <w:b/>
          <w:sz w:val="28"/>
          <w:szCs w:val="28"/>
        </w:rPr>
        <w:t xml:space="preserve">This Service Agreement is made between the Student Loans Company and the </w:t>
      </w:r>
      <w:r w:rsidR="00790210">
        <w:rPr>
          <w:b/>
          <w:sz w:val="28"/>
          <w:szCs w:val="28"/>
        </w:rPr>
        <w:t xml:space="preserve">Further Education </w:t>
      </w:r>
      <w:r w:rsidR="008436DF">
        <w:rPr>
          <w:b/>
          <w:sz w:val="28"/>
          <w:szCs w:val="28"/>
        </w:rPr>
        <w:t xml:space="preserve">Learning Provider </w:t>
      </w:r>
      <w:r w:rsidRPr="00222165">
        <w:rPr>
          <w:b/>
          <w:sz w:val="28"/>
          <w:szCs w:val="28"/>
        </w:rPr>
        <w:t xml:space="preserve">in respect of </w:t>
      </w:r>
      <w:r w:rsidR="00BF1D74" w:rsidRPr="00222165">
        <w:rPr>
          <w:b/>
          <w:sz w:val="28"/>
          <w:szCs w:val="28"/>
        </w:rPr>
        <w:t xml:space="preserve">services undertaken </w:t>
      </w:r>
      <w:r w:rsidR="00222165">
        <w:rPr>
          <w:b/>
          <w:sz w:val="28"/>
          <w:szCs w:val="28"/>
        </w:rPr>
        <w:t xml:space="preserve">for </w:t>
      </w:r>
      <w:r w:rsidRPr="00222165">
        <w:rPr>
          <w:b/>
          <w:sz w:val="28"/>
          <w:szCs w:val="28"/>
        </w:rPr>
        <w:t xml:space="preserve">the administration of </w:t>
      </w:r>
      <w:r w:rsidR="00790210">
        <w:rPr>
          <w:b/>
          <w:sz w:val="28"/>
          <w:szCs w:val="28"/>
        </w:rPr>
        <w:t>Advanced Learner Loans</w:t>
      </w:r>
    </w:p>
    <w:p w14:paraId="4205F091" w14:textId="77777777" w:rsidR="008B1C33" w:rsidRDefault="008B1C33" w:rsidP="008B1C33">
      <w:r>
        <w:t xml:space="preserve">   </w:t>
      </w:r>
    </w:p>
    <w:p w14:paraId="78EACE67" w14:textId="33A509A1" w:rsidR="006B50F3" w:rsidRDefault="006B50F3" w:rsidP="006B50F3">
      <w:pPr>
        <w:pStyle w:val="Heading1"/>
      </w:pPr>
      <w:r>
        <w:t xml:space="preserve">Purpose </w:t>
      </w:r>
    </w:p>
    <w:p w14:paraId="62FD3C8D" w14:textId="77777777" w:rsidR="00B123C3" w:rsidRDefault="00B123C3" w:rsidP="00B123C3">
      <w:r w:rsidRPr="00541BDD">
        <w:t xml:space="preserve">The purpose of this Service Agreement is to define the agreed commitments of </w:t>
      </w:r>
      <w:r w:rsidR="002E32BC">
        <w:t xml:space="preserve">the </w:t>
      </w:r>
      <w:r w:rsidRPr="00541BDD">
        <w:t>S</w:t>
      </w:r>
      <w:r w:rsidR="002E32BC">
        <w:t>tudent Loans Company (S</w:t>
      </w:r>
      <w:r w:rsidRPr="00541BDD">
        <w:t>LC</w:t>
      </w:r>
      <w:r w:rsidR="002E32BC">
        <w:t>)</w:t>
      </w:r>
      <w:r w:rsidRPr="00541BDD">
        <w:t xml:space="preserve"> and FE Learning </w:t>
      </w:r>
      <w:r w:rsidR="006E2C28">
        <w:t>Providers</w:t>
      </w:r>
      <w:r w:rsidRPr="00541BDD">
        <w:t xml:space="preserve"> (FELPs) to deliver information requirements to each other in respect of the administration of Advanced Learner Loans. The Service Agreement is the point of reference </w:t>
      </w:r>
      <w:r>
        <w:t>for the s</w:t>
      </w:r>
      <w:r w:rsidRPr="00541BDD">
        <w:t xml:space="preserve">ervice </w:t>
      </w:r>
      <w:r>
        <w:t>s</w:t>
      </w:r>
      <w:r w:rsidRPr="00541BDD">
        <w:t xml:space="preserve">tandards that apply to these commitments. </w:t>
      </w:r>
      <w:r>
        <w:t xml:space="preserve"> </w:t>
      </w:r>
    </w:p>
    <w:p w14:paraId="2808E63C" w14:textId="7639F4C3" w:rsidR="00B123C3" w:rsidRPr="00541BDD" w:rsidRDefault="00B123C3" w:rsidP="00B123C3">
      <w:r>
        <w:t xml:space="preserve">The Service Agreement is a template agreement that applies to all FELPs. SLC has sought the views and guidance from FELP membership organisations and </w:t>
      </w:r>
      <w:r w:rsidR="006E2C28">
        <w:t xml:space="preserve">the </w:t>
      </w:r>
      <w:r w:rsidR="009D617C">
        <w:t xml:space="preserve">Department for Education </w:t>
      </w:r>
      <w:r w:rsidR="002E32BC">
        <w:t>(</w:t>
      </w:r>
      <w:r w:rsidR="009D617C">
        <w:t>DfE</w:t>
      </w:r>
      <w:r w:rsidR="002E32BC">
        <w:t xml:space="preserve">) </w:t>
      </w:r>
      <w:r>
        <w:t xml:space="preserve">in finalising this template Agreement. </w:t>
      </w:r>
    </w:p>
    <w:p w14:paraId="78754CAF" w14:textId="1FBC3344" w:rsidR="00B123C3" w:rsidRPr="00541BDD" w:rsidRDefault="00B123C3" w:rsidP="00B123C3">
      <w:r w:rsidRPr="00541BDD">
        <w:t>The Service Agreement is not legally binding and does not have any scope of enforcement through statutory provisions. However</w:t>
      </w:r>
      <w:r w:rsidR="008822C8">
        <w:t xml:space="preserve">, </w:t>
      </w:r>
      <w:r w:rsidR="008822C8" w:rsidRPr="00541BDD">
        <w:t>adherence</w:t>
      </w:r>
      <w:r w:rsidRPr="00541BDD">
        <w:t xml:space="preserve"> to these standards is a requirement under the </w:t>
      </w:r>
      <w:r w:rsidR="009D617C">
        <w:t>DfE</w:t>
      </w:r>
      <w:r w:rsidRPr="00541BDD">
        <w:t>’s Funding Rules for Advanced Learner Loans</w:t>
      </w:r>
      <w:r w:rsidR="00AB7FF6">
        <w:t>.</w:t>
      </w:r>
    </w:p>
    <w:p w14:paraId="470BBAF4" w14:textId="77777777" w:rsidR="00AF3A37" w:rsidRDefault="004E59F6">
      <w:r>
        <w:t xml:space="preserve">   </w:t>
      </w:r>
    </w:p>
    <w:p w14:paraId="280FF357" w14:textId="77777777" w:rsidR="006B50F3" w:rsidRDefault="006B50F3" w:rsidP="006B50F3">
      <w:pPr>
        <w:pStyle w:val="Heading1"/>
      </w:pPr>
      <w:r>
        <w:t>Definitions</w:t>
      </w:r>
    </w:p>
    <w:p w14:paraId="06F71C23" w14:textId="1477E4B3" w:rsidR="00B123C3" w:rsidRPr="00541BDD" w:rsidRDefault="00B123C3" w:rsidP="00B123C3">
      <w:pPr>
        <w:rPr>
          <w:rFonts w:cs="Arial"/>
          <w:shd w:val="clear" w:color="auto" w:fill="FFFFFF"/>
        </w:rPr>
      </w:pPr>
      <w:r w:rsidRPr="00541BDD">
        <w:t xml:space="preserve">“Funding Rules” means </w:t>
      </w:r>
      <w:r w:rsidRPr="00541BDD">
        <w:rPr>
          <w:rFonts w:cs="Arial"/>
          <w:shd w:val="clear" w:color="auto" w:fill="FFFFFF"/>
        </w:rPr>
        <w:t xml:space="preserve">the document issued by the </w:t>
      </w:r>
      <w:r w:rsidR="009D617C">
        <w:rPr>
          <w:rFonts w:cs="Arial"/>
          <w:shd w:val="clear" w:color="auto" w:fill="FFFFFF"/>
        </w:rPr>
        <w:t>DfE</w:t>
      </w:r>
      <w:r w:rsidRPr="00541BDD">
        <w:rPr>
          <w:rFonts w:cs="Arial"/>
          <w:shd w:val="clear" w:color="auto" w:fill="FFFFFF"/>
        </w:rPr>
        <w:t xml:space="preserve"> which sets out the rules for </w:t>
      </w:r>
      <w:r w:rsidR="009D3402">
        <w:rPr>
          <w:rFonts w:cs="Arial"/>
          <w:shd w:val="clear" w:color="auto" w:fill="FFFFFF"/>
        </w:rPr>
        <w:t>FELP</w:t>
      </w:r>
      <w:r w:rsidR="002E32BC">
        <w:rPr>
          <w:rFonts w:cs="Arial"/>
          <w:shd w:val="clear" w:color="auto" w:fill="FFFFFF"/>
        </w:rPr>
        <w:t>s</w:t>
      </w:r>
      <w:r w:rsidRPr="00541BDD">
        <w:rPr>
          <w:rFonts w:cs="Arial"/>
          <w:shd w:val="clear" w:color="auto" w:fill="FFFFFF"/>
        </w:rPr>
        <w:t xml:space="preserve"> who receive funding from the </w:t>
      </w:r>
      <w:proofErr w:type="gramStart"/>
      <w:r w:rsidR="009D617C">
        <w:rPr>
          <w:rFonts w:cs="Arial"/>
          <w:shd w:val="clear" w:color="auto" w:fill="FFFFFF"/>
        </w:rPr>
        <w:t>DfE</w:t>
      </w:r>
      <w:proofErr w:type="gramEnd"/>
      <w:r w:rsidRPr="00541BDD">
        <w:rPr>
          <w:rFonts w:cs="Arial"/>
          <w:shd w:val="clear" w:color="auto" w:fill="FFFFFF"/>
        </w:rPr>
        <w:t xml:space="preserve"> and which offer education and skills training. </w:t>
      </w:r>
    </w:p>
    <w:p w14:paraId="50FF21C9" w14:textId="77777777" w:rsidR="00B123C3" w:rsidRPr="00541BDD" w:rsidRDefault="00B123C3" w:rsidP="00B123C3">
      <w:r w:rsidRPr="00541BDD">
        <w:t xml:space="preserve">“FE Learning </w:t>
      </w:r>
      <w:r w:rsidR="006E2C28">
        <w:t>Providers</w:t>
      </w:r>
      <w:r w:rsidRPr="00541BDD">
        <w:t xml:space="preserve"> (FELPs)” is the generic term for colleges, schools, universities, local education authorities</w:t>
      </w:r>
      <w:r>
        <w:t xml:space="preserve">, </w:t>
      </w:r>
      <w:r w:rsidR="000D18C2">
        <w:t xml:space="preserve">employers </w:t>
      </w:r>
      <w:r w:rsidR="000D18C2" w:rsidRPr="00541BDD">
        <w:t>and</w:t>
      </w:r>
      <w:r w:rsidRPr="00541BDD">
        <w:t xml:space="preserve"> independent training </w:t>
      </w:r>
      <w:r w:rsidR="006E2C28">
        <w:t>providers</w:t>
      </w:r>
      <w:r w:rsidRPr="00541BDD">
        <w:t xml:space="preserve"> that are in receipt of an allocation of funding to deliver FE learning and training.   </w:t>
      </w:r>
    </w:p>
    <w:p w14:paraId="66C00943" w14:textId="77777777" w:rsidR="00B123C3" w:rsidRPr="00541BDD" w:rsidRDefault="00B123C3" w:rsidP="00B123C3">
      <w:r w:rsidRPr="00541BDD">
        <w:t xml:space="preserve">“AIS” means the Applicant Information Service section of the </w:t>
      </w:r>
      <w:r w:rsidR="006E2C28">
        <w:t xml:space="preserve">Learning Provider </w:t>
      </w:r>
      <w:r w:rsidRPr="00541BDD">
        <w:t>Portal</w:t>
      </w:r>
      <w:r w:rsidR="00AB7FF6">
        <w:t>.</w:t>
      </w:r>
    </w:p>
    <w:p w14:paraId="70304918" w14:textId="2F92D39C" w:rsidR="00AC3006" w:rsidRDefault="00663B7B" w:rsidP="006B50F3">
      <w:r w:rsidDel="00663B7B">
        <w:t xml:space="preserve"> </w:t>
      </w:r>
      <w:r w:rsidR="00AC3006">
        <w:t>“</w:t>
      </w:r>
      <w:r w:rsidR="009D617C">
        <w:t>DfE</w:t>
      </w:r>
      <w:r w:rsidR="00AC3006">
        <w:t>” means</w:t>
      </w:r>
      <w:r w:rsidR="00C169B1">
        <w:t xml:space="preserve"> the </w:t>
      </w:r>
      <w:r w:rsidR="009D617C">
        <w:t>Department for Education</w:t>
      </w:r>
      <w:r w:rsidR="00C169B1">
        <w:t xml:space="preserve"> in England</w:t>
      </w:r>
      <w:r w:rsidR="009D617C">
        <w:t>.</w:t>
      </w:r>
    </w:p>
    <w:p w14:paraId="0771244B" w14:textId="77777777" w:rsidR="004E59F6" w:rsidRDefault="004E59F6" w:rsidP="006B50F3"/>
    <w:p w14:paraId="1A8A0D6B" w14:textId="77777777" w:rsidR="006B50F3" w:rsidRDefault="006B50F3" w:rsidP="006B50F3"/>
    <w:p w14:paraId="3D316FE1" w14:textId="77777777" w:rsidR="006B50F3" w:rsidRDefault="006B50F3" w:rsidP="006B50F3">
      <w:pPr>
        <w:pStyle w:val="Heading1"/>
      </w:pPr>
      <w:r>
        <w:lastRenderedPageBreak/>
        <w:t>Authorisation</w:t>
      </w:r>
    </w:p>
    <w:p w14:paraId="2C9DD272" w14:textId="1882A19B" w:rsidR="006B15E0" w:rsidRPr="007744AB" w:rsidRDefault="006B50F3" w:rsidP="006B15E0">
      <w:r w:rsidRPr="007744AB">
        <w:t xml:space="preserve">The authorisation for this Service Agreement is </w:t>
      </w:r>
      <w:r w:rsidR="007A177D" w:rsidRPr="007744AB">
        <w:t xml:space="preserve">provided </w:t>
      </w:r>
      <w:r w:rsidR="006B15E0" w:rsidRPr="007744AB">
        <w:t xml:space="preserve">through the </w:t>
      </w:r>
      <w:r w:rsidR="009D617C">
        <w:t>DfE</w:t>
      </w:r>
      <w:r w:rsidR="006B15E0" w:rsidRPr="007744AB">
        <w:t>’s Funding Rules for</w:t>
      </w:r>
      <w:r w:rsidR="006B15E0" w:rsidRPr="007744AB" w:rsidDel="006B15E0">
        <w:rPr>
          <w:rFonts w:cs="Calibri"/>
          <w:color w:val="000000"/>
        </w:rPr>
        <w:t xml:space="preserve"> </w:t>
      </w:r>
      <w:r w:rsidR="00C169B1" w:rsidRPr="007744AB">
        <w:rPr>
          <w:rFonts w:cs="Calibri"/>
          <w:color w:val="000000"/>
        </w:rPr>
        <w:t>Advanced Learner Loans</w:t>
      </w:r>
      <w:r w:rsidR="00AB7FF6" w:rsidRPr="007744AB">
        <w:rPr>
          <w:rFonts w:cs="Calibri"/>
          <w:color w:val="000000"/>
        </w:rPr>
        <w:t>.</w:t>
      </w:r>
    </w:p>
    <w:p w14:paraId="3D9F32BC" w14:textId="77777777" w:rsidR="00C169B1" w:rsidRPr="007744AB" w:rsidRDefault="006B15E0" w:rsidP="006B15E0">
      <w:r w:rsidRPr="007744AB">
        <w:t xml:space="preserve">The Funding Rules are issued annually to </w:t>
      </w:r>
      <w:r w:rsidR="002E32BC" w:rsidRPr="007744AB">
        <w:t>FELPs</w:t>
      </w:r>
      <w:r w:rsidRPr="007744AB">
        <w:t xml:space="preserve"> </w:t>
      </w:r>
      <w:r w:rsidR="00C169B1" w:rsidRPr="007744AB">
        <w:t xml:space="preserve">who are (a) </w:t>
      </w:r>
      <w:r w:rsidRPr="007744AB">
        <w:t xml:space="preserve">registered on the Register of Training </w:t>
      </w:r>
      <w:r w:rsidR="006E2C28" w:rsidRPr="007744AB">
        <w:t>Providers</w:t>
      </w:r>
      <w:r w:rsidR="00C169B1" w:rsidRPr="007744AB">
        <w:t xml:space="preserve">, and (b), approved to deliver loans funded Learning Aims. </w:t>
      </w:r>
      <w:r w:rsidR="002E32BC" w:rsidRPr="007744AB">
        <w:t>FELPs</w:t>
      </w:r>
      <w:r w:rsidR="00C169B1" w:rsidRPr="007744AB">
        <w:t xml:space="preserve"> accepting a loans funding allocation are therefore aware of the requirement commitments in the Funding Rules</w:t>
      </w:r>
      <w:r w:rsidR="00AB7FF6" w:rsidRPr="007744AB">
        <w:t>.</w:t>
      </w:r>
    </w:p>
    <w:p w14:paraId="47AE816C" w14:textId="77777777" w:rsidR="006B15E0" w:rsidRPr="007744AB" w:rsidRDefault="00B123C3" w:rsidP="006B15E0">
      <w:pPr>
        <w:rPr>
          <w:rFonts w:cs="Arial"/>
        </w:rPr>
      </w:pPr>
      <w:r w:rsidRPr="007744AB">
        <w:t xml:space="preserve">FELPs have an obligation to adhere to SLC’s requirements for Advanced Learner Loans </w:t>
      </w:r>
      <w:r w:rsidR="00EC0585" w:rsidRPr="007744AB">
        <w:t>administratio</w:t>
      </w:r>
      <w:r w:rsidR="00EC0585">
        <w:t>n;</w:t>
      </w:r>
      <w:r w:rsidR="00EC0585" w:rsidRPr="007744AB">
        <w:rPr>
          <w:rFonts w:cs="Arial"/>
        </w:rPr>
        <w:t xml:space="preserve"> in</w:t>
      </w:r>
      <w:r w:rsidRPr="007744AB">
        <w:rPr>
          <w:rFonts w:cs="Arial"/>
        </w:rPr>
        <w:t xml:space="preserve"> respect of </w:t>
      </w:r>
      <w:r w:rsidR="006B15E0" w:rsidRPr="007744AB">
        <w:rPr>
          <w:rFonts w:cs="Arial"/>
        </w:rPr>
        <w:t>specific information requirements of the SLC are as follows</w:t>
      </w:r>
      <w:r w:rsidR="002E32BC" w:rsidRPr="007744AB">
        <w:rPr>
          <w:rFonts w:cs="Arial"/>
        </w:rPr>
        <w:t>:</w:t>
      </w:r>
      <w:r w:rsidR="006B15E0" w:rsidRPr="007744AB">
        <w:rPr>
          <w:rFonts w:cs="Arial"/>
        </w:rPr>
        <w:t xml:space="preserve"> </w:t>
      </w:r>
    </w:p>
    <w:p w14:paraId="0CA7E03C" w14:textId="77777777" w:rsidR="006B15E0" w:rsidRPr="007744AB" w:rsidRDefault="006B15E0" w:rsidP="00C169B1">
      <w:pPr>
        <w:pStyle w:val="ListParagraph"/>
        <w:numPr>
          <w:ilvl w:val="0"/>
          <w:numId w:val="9"/>
        </w:numPr>
        <w:rPr>
          <w:rFonts w:ascii="Calibri" w:hAnsi="Calibri" w:cs="Arial"/>
          <w:sz w:val="22"/>
          <w:szCs w:val="22"/>
        </w:rPr>
      </w:pPr>
      <w:r w:rsidRPr="007744AB">
        <w:rPr>
          <w:rFonts w:ascii="Calibri" w:hAnsi="Calibri" w:cs="Arial"/>
          <w:sz w:val="22"/>
          <w:szCs w:val="22"/>
        </w:rPr>
        <w:t>Learners’ Unique Learner Numbers</w:t>
      </w:r>
    </w:p>
    <w:p w14:paraId="1F5202AA" w14:textId="77777777" w:rsidR="006B15E0" w:rsidRPr="007744AB" w:rsidRDefault="006B15E0" w:rsidP="00C169B1">
      <w:pPr>
        <w:pStyle w:val="ListParagraph"/>
        <w:numPr>
          <w:ilvl w:val="0"/>
          <w:numId w:val="9"/>
        </w:numPr>
        <w:rPr>
          <w:rFonts w:ascii="Calibri" w:hAnsi="Calibri" w:cs="Arial"/>
          <w:sz w:val="22"/>
          <w:szCs w:val="22"/>
        </w:rPr>
      </w:pPr>
      <w:r w:rsidRPr="007744AB">
        <w:rPr>
          <w:rFonts w:ascii="Calibri" w:hAnsi="Calibri" w:cs="Arial"/>
          <w:sz w:val="22"/>
          <w:szCs w:val="22"/>
        </w:rPr>
        <w:t xml:space="preserve">Learners’ initial and ongoing attendance/engagement </w:t>
      </w:r>
    </w:p>
    <w:p w14:paraId="283CF552" w14:textId="714A4E69" w:rsidR="00C169B1" w:rsidRPr="007744AB" w:rsidRDefault="006B15E0" w:rsidP="00C169B1">
      <w:pPr>
        <w:pStyle w:val="ListParagraph"/>
        <w:numPr>
          <w:ilvl w:val="0"/>
          <w:numId w:val="9"/>
        </w:numPr>
        <w:rPr>
          <w:rFonts w:ascii="Calibri" w:hAnsi="Calibri" w:cs="Arial"/>
          <w:sz w:val="22"/>
          <w:szCs w:val="22"/>
        </w:rPr>
      </w:pPr>
      <w:r w:rsidRPr="007744AB">
        <w:rPr>
          <w:rFonts w:ascii="Calibri" w:hAnsi="Calibri" w:cs="Arial"/>
          <w:sz w:val="22"/>
          <w:szCs w:val="22"/>
        </w:rPr>
        <w:t>Verification and correction</w:t>
      </w:r>
      <w:r w:rsidR="00970465">
        <w:rPr>
          <w:rFonts w:ascii="Calibri" w:hAnsi="Calibri" w:cs="Arial"/>
          <w:sz w:val="22"/>
          <w:szCs w:val="22"/>
        </w:rPr>
        <w:t>,</w:t>
      </w:r>
      <w:r w:rsidRPr="007744AB">
        <w:rPr>
          <w:rFonts w:ascii="Calibri" w:hAnsi="Calibri" w:cs="Arial"/>
          <w:sz w:val="22"/>
          <w:szCs w:val="22"/>
        </w:rPr>
        <w:t xml:space="preserve"> if </w:t>
      </w:r>
      <w:r w:rsidR="000466B4" w:rsidRPr="007744AB">
        <w:rPr>
          <w:rFonts w:ascii="Calibri" w:hAnsi="Calibri" w:cs="Arial"/>
          <w:sz w:val="22"/>
          <w:szCs w:val="22"/>
        </w:rPr>
        <w:t>necessary, of</w:t>
      </w:r>
      <w:r w:rsidRPr="007744AB">
        <w:rPr>
          <w:rFonts w:ascii="Calibri" w:hAnsi="Calibri" w:cs="Arial"/>
          <w:sz w:val="22"/>
          <w:szCs w:val="22"/>
        </w:rPr>
        <w:t xml:space="preserve"> Learners’ Learning Aims and fee rates charged by the </w:t>
      </w:r>
      <w:r w:rsidR="002E32BC" w:rsidRPr="007744AB">
        <w:rPr>
          <w:rFonts w:ascii="Calibri" w:hAnsi="Calibri" w:cs="Arial"/>
          <w:sz w:val="22"/>
          <w:szCs w:val="22"/>
        </w:rPr>
        <w:t>FELP</w:t>
      </w:r>
    </w:p>
    <w:p w14:paraId="459C2228" w14:textId="37D67F4A" w:rsidR="006B15E0" w:rsidRPr="007744AB" w:rsidRDefault="00C169B1" w:rsidP="00C169B1">
      <w:pPr>
        <w:pStyle w:val="ListParagraph"/>
        <w:numPr>
          <w:ilvl w:val="0"/>
          <w:numId w:val="9"/>
        </w:numPr>
        <w:rPr>
          <w:rFonts w:ascii="Calibri" w:hAnsi="Calibri" w:cs="Arial"/>
          <w:sz w:val="22"/>
          <w:szCs w:val="22"/>
        </w:rPr>
      </w:pPr>
      <w:r w:rsidRPr="007744AB">
        <w:rPr>
          <w:rFonts w:ascii="Calibri" w:hAnsi="Calibri" w:cs="Arial"/>
          <w:sz w:val="22"/>
          <w:szCs w:val="22"/>
        </w:rPr>
        <w:t>Learners’ cessation of learning</w:t>
      </w:r>
      <w:r w:rsidR="00B123C3" w:rsidRPr="007744AB">
        <w:rPr>
          <w:rFonts w:ascii="Calibri" w:hAnsi="Calibri" w:cs="Arial"/>
          <w:sz w:val="22"/>
          <w:szCs w:val="22"/>
        </w:rPr>
        <w:t>, through suspension</w:t>
      </w:r>
      <w:r w:rsidR="000C0FE6">
        <w:rPr>
          <w:rFonts w:ascii="Calibri" w:hAnsi="Calibri" w:cs="Arial"/>
          <w:sz w:val="22"/>
          <w:szCs w:val="22"/>
        </w:rPr>
        <w:t xml:space="preserve"> </w:t>
      </w:r>
      <w:r w:rsidR="00003815">
        <w:rPr>
          <w:rFonts w:ascii="Calibri" w:hAnsi="Calibri" w:cs="Arial"/>
          <w:sz w:val="22"/>
          <w:szCs w:val="22"/>
        </w:rPr>
        <w:t xml:space="preserve">or withdrawal. </w:t>
      </w:r>
    </w:p>
    <w:p w14:paraId="11D72A6E" w14:textId="77777777" w:rsidR="007A177D" w:rsidRPr="007744AB" w:rsidRDefault="007A177D" w:rsidP="00AF3A37">
      <w:pPr>
        <w:spacing w:line="240" w:lineRule="auto"/>
        <w:rPr>
          <w:rFonts w:cs="Arial"/>
        </w:rPr>
      </w:pPr>
    </w:p>
    <w:p w14:paraId="068385E5" w14:textId="77777777" w:rsidR="00B123C3" w:rsidRPr="007744AB" w:rsidRDefault="00DD1F88" w:rsidP="00B123C3">
      <w:pPr>
        <w:pStyle w:val="ListParagraph"/>
        <w:spacing w:line="240" w:lineRule="auto"/>
        <w:ind w:left="0"/>
        <w:contextualSpacing/>
        <w:rPr>
          <w:rFonts w:ascii="Calibri" w:hAnsi="Calibri" w:cs="Arial"/>
          <w:sz w:val="22"/>
          <w:szCs w:val="22"/>
          <w:lang w:eastAsia="en-US"/>
        </w:rPr>
      </w:pPr>
      <w:r>
        <w:rPr>
          <w:rFonts w:ascii="Calibri" w:hAnsi="Calibri" w:cs="Arial"/>
          <w:sz w:val="22"/>
          <w:szCs w:val="22"/>
          <w:lang w:eastAsia="en-US"/>
        </w:rPr>
        <w:t xml:space="preserve">The use of all personal data will be covered by the Data Sharing Agreement (appendix 3). </w:t>
      </w:r>
      <w:r w:rsidR="00B123C3" w:rsidRPr="007744AB">
        <w:rPr>
          <w:rFonts w:ascii="Calibri" w:hAnsi="Calibri" w:cs="Arial"/>
          <w:sz w:val="22"/>
          <w:szCs w:val="22"/>
          <w:lang w:eastAsia="en-US"/>
        </w:rPr>
        <w:t xml:space="preserve">Service Standard measures apply in respect </w:t>
      </w:r>
      <w:r w:rsidR="00AB7FF6" w:rsidRPr="007744AB">
        <w:rPr>
          <w:rFonts w:ascii="Calibri" w:hAnsi="Calibri" w:cs="Arial"/>
          <w:sz w:val="22"/>
          <w:szCs w:val="22"/>
          <w:lang w:eastAsia="en-US"/>
        </w:rPr>
        <w:t xml:space="preserve">of </w:t>
      </w:r>
      <w:r w:rsidR="00B123C3" w:rsidRPr="007744AB">
        <w:rPr>
          <w:rFonts w:ascii="Calibri" w:hAnsi="Calibri" w:cs="Arial"/>
          <w:sz w:val="22"/>
          <w:szCs w:val="22"/>
          <w:lang w:eastAsia="en-US"/>
        </w:rPr>
        <w:t>accuracy and timely provision of information.</w:t>
      </w:r>
    </w:p>
    <w:p w14:paraId="7EB4640D" w14:textId="77777777" w:rsidR="00B123C3" w:rsidRPr="007744AB" w:rsidRDefault="00B123C3" w:rsidP="00B123C3">
      <w:pPr>
        <w:spacing w:line="240" w:lineRule="auto"/>
        <w:contextualSpacing/>
        <w:rPr>
          <w:rFonts w:cs="Arial"/>
          <w:color w:val="FF0000"/>
        </w:rPr>
      </w:pPr>
    </w:p>
    <w:p w14:paraId="696F39F6" w14:textId="77777777" w:rsidR="00B123C3" w:rsidRPr="007744AB" w:rsidRDefault="00B123C3" w:rsidP="00B123C3">
      <w:pPr>
        <w:spacing w:line="240" w:lineRule="auto"/>
        <w:contextualSpacing/>
        <w:rPr>
          <w:rFonts w:cs="Arial"/>
        </w:rPr>
      </w:pPr>
      <w:r w:rsidRPr="007744AB">
        <w:rPr>
          <w:rFonts w:cs="Arial"/>
        </w:rPr>
        <w:t xml:space="preserve">This Service Agreement therefore provides the point of reference for </w:t>
      </w:r>
      <w:r w:rsidR="002E32BC" w:rsidRPr="007744AB">
        <w:rPr>
          <w:rFonts w:cs="Arial"/>
        </w:rPr>
        <w:t>FELPs</w:t>
      </w:r>
      <w:r w:rsidRPr="007744AB">
        <w:rPr>
          <w:rFonts w:cs="Arial"/>
        </w:rPr>
        <w:t xml:space="preserve"> to deliver these information requirements.  </w:t>
      </w:r>
    </w:p>
    <w:p w14:paraId="6B0F7A4A" w14:textId="77777777" w:rsidR="00B123C3" w:rsidRPr="007744AB" w:rsidRDefault="00B123C3" w:rsidP="00B123C3">
      <w:pPr>
        <w:spacing w:line="240" w:lineRule="auto"/>
        <w:contextualSpacing/>
        <w:rPr>
          <w:rFonts w:cs="Arial"/>
        </w:rPr>
      </w:pPr>
    </w:p>
    <w:p w14:paraId="4BD3669D" w14:textId="0DBD141E" w:rsidR="00B123C3" w:rsidRPr="007744AB" w:rsidRDefault="00B123C3" w:rsidP="002E32BC">
      <w:pPr>
        <w:spacing w:line="240" w:lineRule="auto"/>
        <w:contextualSpacing/>
      </w:pPr>
      <w:r w:rsidRPr="007744AB">
        <w:t>SLC has developed service standards for each of these requirements and has also defined standards for the delivery by SLC of enabling dependencies.</w:t>
      </w:r>
      <w:r w:rsidR="002E32BC" w:rsidRPr="007744AB">
        <w:t xml:space="preserve"> </w:t>
      </w:r>
      <w:r w:rsidRPr="007744AB">
        <w:t xml:space="preserve">These service standards are defined in Appendix 1. </w:t>
      </w:r>
      <w:r w:rsidR="00DD1F88">
        <w:t xml:space="preserve">  Appendix 2 provides the definitions of services.</w:t>
      </w:r>
    </w:p>
    <w:p w14:paraId="08146716" w14:textId="77777777" w:rsidR="006B50F3" w:rsidRDefault="006B50F3" w:rsidP="00C77099">
      <w:pPr>
        <w:pStyle w:val="Heading2"/>
      </w:pPr>
    </w:p>
    <w:p w14:paraId="11C36680" w14:textId="77777777" w:rsidR="006B50F3" w:rsidRDefault="007A177D" w:rsidP="006B50F3">
      <w:pPr>
        <w:pStyle w:val="Heading1"/>
      </w:pPr>
      <w:r>
        <w:t>Duration</w:t>
      </w:r>
    </w:p>
    <w:p w14:paraId="103FF620" w14:textId="6D424E78" w:rsidR="006B50F3" w:rsidRDefault="006B50F3" w:rsidP="006B50F3">
      <w:r>
        <w:t>This Service Agreement comes into force on 1</w:t>
      </w:r>
      <w:r w:rsidRPr="006B50F3">
        <w:rPr>
          <w:vertAlign w:val="superscript"/>
        </w:rPr>
        <w:t>st</w:t>
      </w:r>
      <w:r>
        <w:t xml:space="preserve"> </w:t>
      </w:r>
      <w:r w:rsidR="00514C59">
        <w:t>August</w:t>
      </w:r>
      <w:r>
        <w:t xml:space="preserve"> in respect of </w:t>
      </w:r>
      <w:r w:rsidRPr="00B83C17">
        <w:t>AY</w:t>
      </w:r>
      <w:r w:rsidR="00514C59" w:rsidRPr="00B83C17">
        <w:t xml:space="preserve"> 2</w:t>
      </w:r>
      <w:r w:rsidR="00F61558">
        <w:t>5</w:t>
      </w:r>
      <w:r w:rsidR="00514C59" w:rsidRPr="00B83C17">
        <w:t>/</w:t>
      </w:r>
      <w:r w:rsidR="004C0C53" w:rsidRPr="00B83C17">
        <w:t>2</w:t>
      </w:r>
      <w:r w:rsidR="00F61558">
        <w:t>6</w:t>
      </w:r>
      <w:r>
        <w:t xml:space="preserve"> </w:t>
      </w:r>
      <w:r w:rsidR="007A177D">
        <w:t>and each AY t</w:t>
      </w:r>
      <w:r w:rsidR="008B1C33">
        <w:t>hereafter, until further notice</w:t>
      </w:r>
      <w:r w:rsidR="007A177D">
        <w:t xml:space="preserve">.  </w:t>
      </w:r>
    </w:p>
    <w:p w14:paraId="00D1D0E4" w14:textId="3DC6FAEE" w:rsidR="004E59F6" w:rsidRPr="00F61558" w:rsidRDefault="004E59F6" w:rsidP="006B50F3">
      <w:pPr>
        <w:rPr>
          <w:color w:val="EE0000"/>
        </w:rPr>
      </w:pPr>
      <w:r>
        <w:t xml:space="preserve">There will </w:t>
      </w:r>
      <w:r w:rsidR="002B5CF8">
        <w:t xml:space="preserve">then </w:t>
      </w:r>
      <w:r>
        <w:t xml:space="preserve">be a formal review each </w:t>
      </w:r>
      <w:r w:rsidR="00F61558">
        <w:t>May</w:t>
      </w:r>
      <w:r>
        <w:t xml:space="preserve"> to determine if the Service Agreement, or any service standards, definitions or management provisio</w:t>
      </w:r>
      <w:r w:rsidR="00AC3006">
        <w:t xml:space="preserve">ns within, need to be changed. </w:t>
      </w:r>
      <w:proofErr w:type="spellStart"/>
      <w:r w:rsidR="00C169B1">
        <w:t>AoC</w:t>
      </w:r>
      <w:proofErr w:type="spellEnd"/>
      <w:r w:rsidR="00C169B1">
        <w:t xml:space="preserve"> and AELP representatives will be engaged in SLC’s Se</w:t>
      </w:r>
      <w:r w:rsidR="002917C2">
        <w:t xml:space="preserve">rvice User Group to review the </w:t>
      </w:r>
      <w:r w:rsidR="002917C2" w:rsidRPr="00D47F4E">
        <w:t>S</w:t>
      </w:r>
      <w:r w:rsidR="00C169B1" w:rsidRPr="00D47F4E">
        <w:t xml:space="preserve">ervice </w:t>
      </w:r>
      <w:r w:rsidR="002917C2" w:rsidRPr="00D47F4E">
        <w:t>S</w:t>
      </w:r>
      <w:r w:rsidR="00C169B1" w:rsidRPr="00D47F4E">
        <w:t>tandards, and the Service Agreement wil</w:t>
      </w:r>
      <w:r w:rsidR="00F9557F" w:rsidRPr="00D47F4E">
        <w:t>l</w:t>
      </w:r>
      <w:r w:rsidR="00C169B1" w:rsidRPr="00D47F4E">
        <w:t xml:space="preserve"> be reviewed by </w:t>
      </w:r>
      <w:r w:rsidR="00C169B1" w:rsidRPr="007543F6">
        <w:rPr>
          <w:color w:val="000000" w:themeColor="text1"/>
        </w:rPr>
        <w:t xml:space="preserve">the </w:t>
      </w:r>
      <w:r w:rsidR="007543F6" w:rsidRPr="007543F6">
        <w:rPr>
          <w:color w:val="000000" w:themeColor="text1"/>
        </w:rPr>
        <w:t xml:space="preserve">Learning Provider </w:t>
      </w:r>
      <w:r w:rsidR="00591CB3" w:rsidRPr="007543F6">
        <w:rPr>
          <w:color w:val="000000" w:themeColor="text1"/>
        </w:rPr>
        <w:t xml:space="preserve">Advisory </w:t>
      </w:r>
      <w:r w:rsidR="00C169B1" w:rsidRPr="007543F6">
        <w:rPr>
          <w:color w:val="000000" w:themeColor="text1"/>
        </w:rPr>
        <w:t>Group.</w:t>
      </w:r>
    </w:p>
    <w:p w14:paraId="0C477533" w14:textId="77777777" w:rsidR="00726413" w:rsidRDefault="00726413" w:rsidP="006B50F3">
      <w:r>
        <w:t xml:space="preserve">Communications of any changes will be undertaken </w:t>
      </w:r>
      <w:r w:rsidR="002B5CF8">
        <w:t>in writing by providing the updated version of this agreement to</w:t>
      </w:r>
      <w:r w:rsidR="005C601D">
        <w:t xml:space="preserve"> FELPs prior to them coming into fo</w:t>
      </w:r>
      <w:r w:rsidR="00BC7F13">
        <w:t>r</w:t>
      </w:r>
      <w:r w:rsidR="00AB7FF6">
        <w:t>ce.</w:t>
      </w:r>
    </w:p>
    <w:p w14:paraId="2C67EC1D" w14:textId="77777777" w:rsidR="00F9557F" w:rsidRDefault="00F9557F" w:rsidP="006B50F3"/>
    <w:p w14:paraId="29D9D78F" w14:textId="77777777" w:rsidR="002E32BC" w:rsidRDefault="002E32BC" w:rsidP="006B50F3"/>
    <w:p w14:paraId="252F61EE" w14:textId="77777777" w:rsidR="006B50F3" w:rsidRDefault="006B50F3" w:rsidP="006B50F3">
      <w:pPr>
        <w:pStyle w:val="Heading1"/>
      </w:pPr>
      <w:r>
        <w:lastRenderedPageBreak/>
        <w:t>Scope</w:t>
      </w:r>
    </w:p>
    <w:p w14:paraId="25CCA28B" w14:textId="77777777" w:rsidR="006B50F3" w:rsidRPr="002E32BC" w:rsidRDefault="007A09B6" w:rsidP="006B50F3">
      <w:pPr>
        <w:pStyle w:val="Heading1"/>
        <w:numPr>
          <w:ilvl w:val="0"/>
          <w:numId w:val="0"/>
        </w:numPr>
        <w:rPr>
          <w:rFonts w:ascii="Calibri" w:hAnsi="Calibri"/>
          <w:b w:val="0"/>
          <w:sz w:val="22"/>
          <w:szCs w:val="22"/>
        </w:rPr>
      </w:pPr>
      <w:r w:rsidRPr="002E32BC">
        <w:rPr>
          <w:rFonts w:ascii="Calibri" w:hAnsi="Calibri"/>
          <w:b w:val="0"/>
          <w:sz w:val="22"/>
          <w:szCs w:val="22"/>
        </w:rPr>
        <w:t xml:space="preserve">The scope of the Service Agreement is limited </w:t>
      </w:r>
      <w:r w:rsidR="00AB7FF6" w:rsidRPr="002E32BC">
        <w:rPr>
          <w:rFonts w:ascii="Calibri" w:hAnsi="Calibri"/>
          <w:b w:val="0"/>
          <w:sz w:val="22"/>
          <w:szCs w:val="22"/>
        </w:rPr>
        <w:t xml:space="preserve">to </w:t>
      </w:r>
      <w:r w:rsidRPr="002E32BC">
        <w:rPr>
          <w:rFonts w:ascii="Calibri" w:hAnsi="Calibri"/>
          <w:b w:val="0"/>
          <w:sz w:val="22"/>
          <w:szCs w:val="22"/>
        </w:rPr>
        <w:t>Advanced Learner Loans funding in England</w:t>
      </w:r>
      <w:r w:rsidR="00AB7FF6" w:rsidRPr="002E32BC">
        <w:rPr>
          <w:rFonts w:ascii="Calibri" w:hAnsi="Calibri"/>
          <w:b w:val="0"/>
          <w:sz w:val="22"/>
          <w:szCs w:val="22"/>
        </w:rPr>
        <w:t>.</w:t>
      </w:r>
    </w:p>
    <w:p w14:paraId="36847DBC" w14:textId="77777777" w:rsidR="008B1C33" w:rsidRDefault="008B1C33" w:rsidP="008B1C33"/>
    <w:p w14:paraId="13D85F37" w14:textId="77777777" w:rsidR="00B123C3" w:rsidRDefault="00B123C3" w:rsidP="00B123C3">
      <w:pPr>
        <w:pStyle w:val="Heading1"/>
      </w:pPr>
      <w:r>
        <w:t xml:space="preserve">Provisions </w:t>
      </w:r>
    </w:p>
    <w:p w14:paraId="6EC98EE7" w14:textId="77777777" w:rsidR="00B123C3" w:rsidRDefault="00B123C3" w:rsidP="00B123C3">
      <w:pPr>
        <w:pStyle w:val="NoSpacing"/>
      </w:pPr>
    </w:p>
    <w:p w14:paraId="457C3086" w14:textId="77777777" w:rsidR="00B123C3" w:rsidRPr="007744AB" w:rsidRDefault="005C601D" w:rsidP="00B123C3">
      <w:r w:rsidRPr="007744AB">
        <w:t>6</w:t>
      </w:r>
      <w:r w:rsidR="00B123C3" w:rsidRPr="007744AB">
        <w:t xml:space="preserve">.1 Scope of Services </w:t>
      </w:r>
    </w:p>
    <w:p w14:paraId="485E6137" w14:textId="77777777" w:rsidR="00B123C3" w:rsidRPr="007744AB" w:rsidRDefault="00B123C3" w:rsidP="00B123C3">
      <w:r w:rsidRPr="007744AB">
        <w:t xml:space="preserve">The services falling into the scope of this Agreement, and the applicable service standards, are defined in Appendix 1.  </w:t>
      </w:r>
    </w:p>
    <w:p w14:paraId="67C46155" w14:textId="77777777" w:rsidR="00B123C3" w:rsidRPr="007744AB" w:rsidRDefault="005C601D" w:rsidP="00B123C3">
      <w:r w:rsidRPr="007744AB">
        <w:t>6</w:t>
      </w:r>
      <w:r w:rsidR="00B123C3" w:rsidRPr="007744AB">
        <w:t>.2 Accountability</w:t>
      </w:r>
    </w:p>
    <w:p w14:paraId="73D6D85C" w14:textId="77777777" w:rsidR="00B123C3" w:rsidRPr="007744AB" w:rsidRDefault="00B123C3" w:rsidP="00B123C3">
      <w:r w:rsidRPr="007744AB">
        <w:t xml:space="preserve">The FELP appoints a primary contact for loan administration, and matters related to this Service Agreement are initially handled through that contact. </w:t>
      </w:r>
    </w:p>
    <w:p w14:paraId="14374380" w14:textId="77777777" w:rsidR="00B123C3" w:rsidRPr="007744AB" w:rsidRDefault="008822C8" w:rsidP="00B123C3">
      <w:r>
        <w:t>The F</w:t>
      </w:r>
      <w:r w:rsidR="00B123C3" w:rsidRPr="007744AB">
        <w:t>E</w:t>
      </w:r>
      <w:r>
        <w:t>L</w:t>
      </w:r>
      <w:r w:rsidR="00B123C3" w:rsidRPr="007744AB">
        <w:t>P’s Advanced Learning Loans Contract Manager is accountable for the adhere</w:t>
      </w:r>
      <w:r w:rsidR="00AB7FF6" w:rsidRPr="007744AB">
        <w:t>nce</w:t>
      </w:r>
      <w:r w:rsidR="00B123C3" w:rsidRPr="007744AB">
        <w:t xml:space="preserve"> to the SLC Service Standards</w:t>
      </w:r>
      <w:r w:rsidR="00AB7FF6" w:rsidRPr="007744AB">
        <w:t>.</w:t>
      </w:r>
    </w:p>
    <w:p w14:paraId="27254591" w14:textId="77777777" w:rsidR="00B123C3" w:rsidRPr="007744AB" w:rsidRDefault="00B123C3" w:rsidP="00B123C3">
      <w:r w:rsidRPr="007744AB">
        <w:t>SLC’s Head of Partner Services is accountable for the services provided by SLC.</w:t>
      </w:r>
    </w:p>
    <w:p w14:paraId="5BEA8AC4" w14:textId="77777777" w:rsidR="00B123C3" w:rsidRPr="007744AB" w:rsidRDefault="005C601D" w:rsidP="00B123C3">
      <w:r w:rsidRPr="007744AB">
        <w:t>6</w:t>
      </w:r>
      <w:r w:rsidR="00B123C3" w:rsidRPr="007744AB">
        <w:t xml:space="preserve">.3 Monitoring &amp; Reporting </w:t>
      </w:r>
    </w:p>
    <w:p w14:paraId="4FDA58CB" w14:textId="77777777" w:rsidR="00B123C3" w:rsidRPr="007744AB" w:rsidRDefault="00B123C3" w:rsidP="00B123C3">
      <w:r w:rsidRPr="007744AB">
        <w:t xml:space="preserve">The FELP will ensure that management and monitoring systems are in place to ensure achievement of the service standards. </w:t>
      </w:r>
    </w:p>
    <w:p w14:paraId="068D4A8D" w14:textId="77777777" w:rsidR="00B123C3" w:rsidRPr="007744AB" w:rsidRDefault="00B123C3" w:rsidP="00B123C3">
      <w:r w:rsidRPr="007744AB">
        <w:t xml:space="preserve">SLC’s Partner Services Division monitors the performance of the FELP against the target service standards. </w:t>
      </w:r>
    </w:p>
    <w:p w14:paraId="7571BECA" w14:textId="77777777" w:rsidR="00B123C3" w:rsidRPr="00A856B8" w:rsidRDefault="00B123C3" w:rsidP="00B123C3">
      <w:pPr>
        <w:rPr>
          <w:color w:val="000000" w:themeColor="text1"/>
        </w:rPr>
      </w:pPr>
      <w:r w:rsidRPr="00A856B8">
        <w:rPr>
          <w:color w:val="000000" w:themeColor="text1"/>
        </w:rPr>
        <w:t xml:space="preserve">SLC’s Head of </w:t>
      </w:r>
      <w:r w:rsidR="005C601D" w:rsidRPr="00A856B8">
        <w:rPr>
          <w:color w:val="000000" w:themeColor="text1"/>
        </w:rPr>
        <w:t xml:space="preserve">Operations (Glasgow) </w:t>
      </w:r>
      <w:r w:rsidRPr="00A856B8">
        <w:rPr>
          <w:color w:val="000000" w:themeColor="text1"/>
        </w:rPr>
        <w:t>monitors and reports on the accuracy and timeliness of payments and reassessments.</w:t>
      </w:r>
    </w:p>
    <w:p w14:paraId="27B134BC" w14:textId="77777777" w:rsidR="00B123C3" w:rsidRPr="007744AB" w:rsidRDefault="005C601D" w:rsidP="00B123C3">
      <w:r w:rsidRPr="007744AB">
        <w:t>6</w:t>
      </w:r>
      <w:r w:rsidR="00B123C3" w:rsidRPr="007744AB">
        <w:t>.</w:t>
      </w:r>
      <w:r w:rsidRPr="007744AB">
        <w:t>4</w:t>
      </w:r>
      <w:r w:rsidR="00B123C3" w:rsidRPr="007744AB">
        <w:t xml:space="preserve"> Remedial Action and Escalation  </w:t>
      </w:r>
    </w:p>
    <w:p w14:paraId="5440D2C2" w14:textId="07D58802" w:rsidR="00B123C3" w:rsidRPr="007744AB" w:rsidRDefault="00B123C3" w:rsidP="00B123C3">
      <w:r w:rsidRPr="007744AB">
        <w:t>Actions are agreed between SLC FE Account Manager and senior FELP contact to address any significant variances from the service standards, and may include the following:</w:t>
      </w:r>
    </w:p>
    <w:p w14:paraId="55E23ABC" w14:textId="77777777" w:rsidR="00B123C3" w:rsidRPr="007744AB" w:rsidRDefault="00B123C3" w:rsidP="00B123C3">
      <w:pPr>
        <w:pStyle w:val="ListParagraph"/>
        <w:numPr>
          <w:ilvl w:val="0"/>
          <w:numId w:val="6"/>
        </w:numPr>
        <w:spacing w:after="200" w:line="276" w:lineRule="auto"/>
        <w:contextualSpacing/>
        <w:rPr>
          <w:rFonts w:ascii="Calibri" w:hAnsi="Calibri"/>
          <w:sz w:val="22"/>
          <w:szCs w:val="22"/>
        </w:rPr>
      </w:pPr>
      <w:r w:rsidRPr="007744AB">
        <w:rPr>
          <w:rFonts w:ascii="Calibri" w:hAnsi="Calibri"/>
          <w:sz w:val="22"/>
          <w:szCs w:val="22"/>
        </w:rPr>
        <w:t>Re-prioritisation of administration work</w:t>
      </w:r>
      <w:r w:rsidR="00AB7FF6" w:rsidRPr="007744AB">
        <w:rPr>
          <w:rFonts w:ascii="Calibri" w:hAnsi="Calibri"/>
          <w:sz w:val="22"/>
          <w:szCs w:val="22"/>
        </w:rPr>
        <w:t>.</w:t>
      </w:r>
      <w:r w:rsidRPr="007744AB">
        <w:rPr>
          <w:rFonts w:ascii="Calibri" w:hAnsi="Calibri"/>
          <w:sz w:val="22"/>
          <w:szCs w:val="22"/>
        </w:rPr>
        <w:t xml:space="preserve"> </w:t>
      </w:r>
    </w:p>
    <w:p w14:paraId="62F42B77" w14:textId="77777777" w:rsidR="00B123C3" w:rsidRPr="007744AB" w:rsidRDefault="00B123C3" w:rsidP="00B123C3">
      <w:pPr>
        <w:pStyle w:val="ListParagraph"/>
        <w:numPr>
          <w:ilvl w:val="0"/>
          <w:numId w:val="6"/>
        </w:numPr>
        <w:spacing w:after="200" w:line="276" w:lineRule="auto"/>
        <w:contextualSpacing/>
        <w:rPr>
          <w:rFonts w:ascii="Calibri" w:hAnsi="Calibri"/>
          <w:sz w:val="22"/>
          <w:szCs w:val="22"/>
        </w:rPr>
      </w:pPr>
      <w:r w:rsidRPr="007744AB">
        <w:rPr>
          <w:rFonts w:ascii="Calibri" w:hAnsi="Calibri"/>
          <w:sz w:val="22"/>
          <w:szCs w:val="22"/>
        </w:rPr>
        <w:t>Essential system and process training delivered by SLC’s Account Managers</w:t>
      </w:r>
      <w:r w:rsidR="00AB7FF6" w:rsidRPr="007744AB">
        <w:rPr>
          <w:rFonts w:ascii="Calibri" w:hAnsi="Calibri"/>
          <w:sz w:val="22"/>
          <w:szCs w:val="22"/>
        </w:rPr>
        <w:t>.</w:t>
      </w:r>
    </w:p>
    <w:p w14:paraId="4C346705" w14:textId="25CF72C5" w:rsidR="00B123C3" w:rsidRPr="007744AB" w:rsidRDefault="00B123C3" w:rsidP="00B123C3">
      <w:pPr>
        <w:pStyle w:val="ListParagraph"/>
        <w:numPr>
          <w:ilvl w:val="0"/>
          <w:numId w:val="6"/>
        </w:numPr>
        <w:spacing w:after="200" w:line="276" w:lineRule="auto"/>
        <w:contextualSpacing/>
        <w:rPr>
          <w:rFonts w:ascii="Calibri" w:hAnsi="Calibri"/>
          <w:sz w:val="22"/>
          <w:szCs w:val="22"/>
        </w:rPr>
      </w:pPr>
      <w:r w:rsidRPr="007744AB">
        <w:rPr>
          <w:rFonts w:ascii="Calibri" w:hAnsi="Calibri"/>
          <w:sz w:val="22"/>
          <w:szCs w:val="22"/>
        </w:rPr>
        <w:t xml:space="preserve">Account Reviews with the SLC Account Manager. </w:t>
      </w:r>
    </w:p>
    <w:p w14:paraId="11610F26" w14:textId="77777777" w:rsidR="00B123C3" w:rsidRDefault="005C601D" w:rsidP="00B123C3">
      <w:pPr>
        <w:pStyle w:val="ListParagraph"/>
        <w:numPr>
          <w:ilvl w:val="0"/>
          <w:numId w:val="6"/>
        </w:numPr>
        <w:rPr>
          <w:rFonts w:ascii="Calibri" w:hAnsi="Calibri"/>
          <w:sz w:val="22"/>
          <w:szCs w:val="22"/>
        </w:rPr>
      </w:pPr>
      <w:r w:rsidRPr="007744AB">
        <w:rPr>
          <w:rFonts w:ascii="Calibri" w:hAnsi="Calibri"/>
          <w:sz w:val="22"/>
          <w:szCs w:val="22"/>
        </w:rPr>
        <w:t>Implementation of p</w:t>
      </w:r>
      <w:r w:rsidR="00B123C3" w:rsidRPr="007744AB">
        <w:rPr>
          <w:rFonts w:ascii="Calibri" w:hAnsi="Calibri"/>
          <w:sz w:val="22"/>
          <w:szCs w:val="22"/>
        </w:rPr>
        <w:t xml:space="preserve">rocess improvement and backlog resolution actions. </w:t>
      </w:r>
    </w:p>
    <w:p w14:paraId="538EE099" w14:textId="0A00AB8B" w:rsidR="00CA4BA9" w:rsidRDefault="001D586C" w:rsidP="00CA4BA9">
      <w:pPr>
        <w:numPr>
          <w:ilvl w:val="0"/>
          <w:numId w:val="6"/>
        </w:numPr>
        <w:spacing w:after="0"/>
      </w:pPr>
      <w:r>
        <w:t>p</w:t>
      </w:r>
      <w:r w:rsidR="00CA4BA9">
        <w:t xml:space="preserve">lacing conditions onto FELPs, concurrently or as a pre-requisite to, the approval of a growth request by </w:t>
      </w:r>
      <w:r w:rsidR="009D617C">
        <w:t>DfE</w:t>
      </w:r>
      <w:r w:rsidR="00F4412E">
        <w:t>.</w:t>
      </w:r>
    </w:p>
    <w:p w14:paraId="2B4B2579" w14:textId="163C44BA" w:rsidR="00B123C3" w:rsidRPr="00CA4BA9" w:rsidRDefault="00B123C3" w:rsidP="00CA4BA9">
      <w:pPr>
        <w:numPr>
          <w:ilvl w:val="0"/>
          <w:numId w:val="6"/>
        </w:numPr>
        <w:spacing w:after="0"/>
      </w:pPr>
      <w:r w:rsidRPr="00CA4BA9">
        <w:t xml:space="preserve">SLC will escalate issues with individual </w:t>
      </w:r>
      <w:r w:rsidR="002917C2" w:rsidRPr="00CA4BA9">
        <w:t>providers</w:t>
      </w:r>
      <w:r w:rsidRPr="00CA4BA9">
        <w:t xml:space="preserve"> to the FELPs Contract Manager. The FELP will make </w:t>
      </w:r>
      <w:r w:rsidR="00AB7FF6" w:rsidRPr="00CA4BA9">
        <w:t xml:space="preserve">the </w:t>
      </w:r>
      <w:r w:rsidRPr="00CA4BA9">
        <w:t xml:space="preserve">senior contact, at management level at the minimum, </w:t>
      </w:r>
      <w:r w:rsidR="005F1A30" w:rsidRPr="00CA4BA9">
        <w:t xml:space="preserve">available </w:t>
      </w:r>
      <w:r w:rsidRPr="00CA4BA9">
        <w:t xml:space="preserve">as a point of escalation for any issues. This role will default to the FELPs Contract </w:t>
      </w:r>
      <w:r w:rsidR="00BC3B43" w:rsidRPr="00CA4BA9">
        <w:t>Manager unless</w:t>
      </w:r>
      <w:r w:rsidRPr="00CA4BA9">
        <w:t xml:space="preserve"> an alternative member of the FELP executive team is nominated. </w:t>
      </w:r>
    </w:p>
    <w:p w14:paraId="7CE96F44" w14:textId="6B0B32C5" w:rsidR="002917C2" w:rsidRDefault="002917C2" w:rsidP="00B123C3"/>
    <w:p w14:paraId="225E7B84" w14:textId="77777777" w:rsidR="00B123C3" w:rsidRPr="007744AB" w:rsidRDefault="000D18C2" w:rsidP="00B123C3">
      <w:r w:rsidRPr="007744AB">
        <w:lastRenderedPageBreak/>
        <w:t>6.5 External</w:t>
      </w:r>
      <w:r w:rsidR="00B123C3" w:rsidRPr="007744AB">
        <w:t xml:space="preserve"> Remedies &amp; Escalations</w:t>
      </w:r>
    </w:p>
    <w:p w14:paraId="1DB53B84" w14:textId="0BBA41EE" w:rsidR="00B123C3" w:rsidRPr="007543F6" w:rsidRDefault="00B123C3" w:rsidP="00B123C3">
      <w:pPr>
        <w:rPr>
          <w:color w:val="000000" w:themeColor="text1"/>
        </w:rPr>
      </w:pPr>
      <w:r w:rsidRPr="007543F6">
        <w:rPr>
          <w:color w:val="000000" w:themeColor="text1"/>
        </w:rPr>
        <w:t xml:space="preserve">SLC will regularly </w:t>
      </w:r>
      <w:r w:rsidR="0020119F" w:rsidRPr="007543F6">
        <w:rPr>
          <w:color w:val="000000" w:themeColor="text1"/>
        </w:rPr>
        <w:t xml:space="preserve">report the following information to </w:t>
      </w:r>
      <w:r w:rsidRPr="007543F6">
        <w:rPr>
          <w:color w:val="000000" w:themeColor="text1"/>
        </w:rPr>
        <w:t xml:space="preserve">the </w:t>
      </w:r>
      <w:r w:rsidR="007543F6" w:rsidRPr="007543F6">
        <w:rPr>
          <w:color w:val="000000" w:themeColor="text1"/>
        </w:rPr>
        <w:t xml:space="preserve">Learning Provider </w:t>
      </w:r>
      <w:r w:rsidR="00591CB3" w:rsidRPr="007543F6">
        <w:rPr>
          <w:color w:val="000000" w:themeColor="text1"/>
        </w:rPr>
        <w:t xml:space="preserve">Advisory </w:t>
      </w:r>
      <w:r w:rsidRPr="007543F6">
        <w:rPr>
          <w:color w:val="000000" w:themeColor="text1"/>
        </w:rPr>
        <w:t>Group</w:t>
      </w:r>
      <w:r w:rsidR="002917C2" w:rsidRPr="007543F6">
        <w:rPr>
          <w:color w:val="000000" w:themeColor="text1"/>
        </w:rPr>
        <w:t>:</w:t>
      </w:r>
    </w:p>
    <w:p w14:paraId="4CB8F225" w14:textId="77777777" w:rsidR="00B123C3" w:rsidRPr="007543F6" w:rsidRDefault="00B123C3" w:rsidP="00B123C3">
      <w:pPr>
        <w:pStyle w:val="ListParagraph"/>
        <w:numPr>
          <w:ilvl w:val="0"/>
          <w:numId w:val="6"/>
        </w:numPr>
        <w:spacing w:after="200" w:line="276" w:lineRule="auto"/>
        <w:contextualSpacing/>
        <w:rPr>
          <w:rFonts w:ascii="Calibri" w:hAnsi="Calibri"/>
          <w:color w:val="000000" w:themeColor="text1"/>
          <w:sz w:val="22"/>
          <w:szCs w:val="22"/>
        </w:rPr>
      </w:pPr>
      <w:r w:rsidRPr="007543F6">
        <w:rPr>
          <w:rFonts w:ascii="Calibri" w:hAnsi="Calibri"/>
          <w:color w:val="000000" w:themeColor="text1"/>
          <w:sz w:val="22"/>
          <w:szCs w:val="22"/>
        </w:rPr>
        <w:t>The performance of the sector against service standards</w:t>
      </w:r>
    </w:p>
    <w:p w14:paraId="6E2E624F" w14:textId="77777777" w:rsidR="00B123C3" w:rsidRPr="007543F6" w:rsidRDefault="00B123C3" w:rsidP="00B123C3">
      <w:pPr>
        <w:pStyle w:val="ListParagraph"/>
        <w:numPr>
          <w:ilvl w:val="0"/>
          <w:numId w:val="6"/>
        </w:numPr>
        <w:spacing w:after="200" w:line="276" w:lineRule="auto"/>
        <w:contextualSpacing/>
        <w:rPr>
          <w:rFonts w:ascii="Calibri" w:hAnsi="Calibri"/>
          <w:color w:val="000000" w:themeColor="text1"/>
          <w:sz w:val="22"/>
          <w:szCs w:val="22"/>
        </w:rPr>
      </w:pPr>
      <w:r w:rsidRPr="007543F6">
        <w:rPr>
          <w:rFonts w:ascii="Calibri" w:hAnsi="Calibri"/>
          <w:color w:val="000000" w:themeColor="text1"/>
          <w:sz w:val="22"/>
          <w:szCs w:val="22"/>
        </w:rPr>
        <w:t>The trends in performance over time</w:t>
      </w:r>
    </w:p>
    <w:p w14:paraId="047E6DFC" w14:textId="77777777" w:rsidR="00B123C3" w:rsidRPr="007543F6" w:rsidRDefault="00B123C3" w:rsidP="00B123C3">
      <w:pPr>
        <w:pStyle w:val="ListParagraph"/>
        <w:numPr>
          <w:ilvl w:val="0"/>
          <w:numId w:val="6"/>
        </w:numPr>
        <w:spacing w:after="200" w:line="276" w:lineRule="auto"/>
        <w:contextualSpacing/>
        <w:rPr>
          <w:rFonts w:ascii="Calibri" w:hAnsi="Calibri"/>
          <w:color w:val="000000" w:themeColor="text1"/>
          <w:sz w:val="22"/>
          <w:szCs w:val="22"/>
        </w:rPr>
      </w:pPr>
      <w:r w:rsidRPr="007543F6">
        <w:rPr>
          <w:rFonts w:ascii="Calibri" w:hAnsi="Calibri"/>
          <w:color w:val="000000" w:themeColor="text1"/>
          <w:sz w:val="22"/>
          <w:szCs w:val="22"/>
        </w:rPr>
        <w:t>The extent of remedial action plans</w:t>
      </w:r>
    </w:p>
    <w:p w14:paraId="014E04A3" w14:textId="77519D05" w:rsidR="00B123C3" w:rsidRPr="007543F6" w:rsidRDefault="00B123C3" w:rsidP="0020119F">
      <w:pPr>
        <w:rPr>
          <w:color w:val="000000" w:themeColor="text1"/>
        </w:rPr>
      </w:pPr>
      <w:r w:rsidRPr="007543F6">
        <w:rPr>
          <w:color w:val="000000" w:themeColor="text1"/>
        </w:rPr>
        <w:t>Individual FELPs will not be identified</w:t>
      </w:r>
      <w:r w:rsidR="0020119F" w:rsidRPr="007543F6">
        <w:rPr>
          <w:color w:val="000000" w:themeColor="text1"/>
        </w:rPr>
        <w:t xml:space="preserve"> within these reports</w:t>
      </w:r>
      <w:r w:rsidRPr="007543F6">
        <w:rPr>
          <w:color w:val="000000" w:themeColor="text1"/>
        </w:rPr>
        <w:t>.</w:t>
      </w:r>
    </w:p>
    <w:p w14:paraId="169EB035" w14:textId="6A46B382" w:rsidR="00B123C3" w:rsidRPr="007744AB" w:rsidRDefault="00B123C3" w:rsidP="00B123C3">
      <w:r w:rsidRPr="007744AB">
        <w:t xml:space="preserve">SLC has a </w:t>
      </w:r>
      <w:r w:rsidR="005C601D" w:rsidRPr="007744AB">
        <w:t xml:space="preserve">Service Agreement </w:t>
      </w:r>
      <w:r w:rsidRPr="007744AB">
        <w:t xml:space="preserve">with the </w:t>
      </w:r>
      <w:r w:rsidR="009D617C">
        <w:t>DfE</w:t>
      </w:r>
      <w:r w:rsidRPr="007744AB">
        <w:t xml:space="preserve"> by which SLC is required to notify </w:t>
      </w:r>
      <w:r w:rsidR="009D617C">
        <w:t>DfE</w:t>
      </w:r>
      <w:r w:rsidRPr="007744AB">
        <w:t xml:space="preserve"> of any FELP that is consistently falling short of the service standards or failing to implement improvement plans.  The </w:t>
      </w:r>
      <w:r w:rsidR="009D617C">
        <w:t>DfE</w:t>
      </w:r>
      <w:r w:rsidRPr="007744AB">
        <w:t xml:space="preserve"> </w:t>
      </w:r>
      <w:r w:rsidR="0020119F">
        <w:t>is</w:t>
      </w:r>
      <w:r w:rsidRPr="007744AB">
        <w:t xml:space="preserve"> required to consider whether these concerns merit action in relation to the Funding Rules.</w:t>
      </w:r>
    </w:p>
    <w:p w14:paraId="60DAA866" w14:textId="292647CC" w:rsidR="00B123C3" w:rsidRPr="007744AB" w:rsidRDefault="00B123C3" w:rsidP="00B123C3">
      <w:r w:rsidRPr="007744AB">
        <w:t xml:space="preserve">SLC is required to notify </w:t>
      </w:r>
      <w:r w:rsidR="009D617C">
        <w:t>DfE</w:t>
      </w:r>
      <w:r w:rsidRPr="007744AB">
        <w:t xml:space="preserve"> where it believes FELPs are not making reasonable efforts to achieve the service standards. This may, and has in the past, led to suspension/withholding of fee payments.   </w:t>
      </w:r>
    </w:p>
    <w:p w14:paraId="3F7B29A8" w14:textId="77777777" w:rsidR="00B123C3" w:rsidRDefault="00B123C3" w:rsidP="008B1C33"/>
    <w:p w14:paraId="72F9F708" w14:textId="77777777" w:rsidR="008B1C33" w:rsidRDefault="008B1C33" w:rsidP="00131FE5">
      <w:pPr>
        <w:pStyle w:val="Heading1"/>
      </w:pPr>
      <w:r>
        <w:t xml:space="preserve">Complaints </w:t>
      </w:r>
      <w:r w:rsidR="00655865">
        <w:t>about the Service Agreement</w:t>
      </w:r>
    </w:p>
    <w:p w14:paraId="7A86E869" w14:textId="77777777" w:rsidR="00655865" w:rsidRDefault="00726413">
      <w:r>
        <w:t>Complaints in relation to the use of the Service Agreement can be made</w:t>
      </w:r>
      <w:r w:rsidR="0010386A">
        <w:t xml:space="preserve"> to the signatory in writing, who undertakes an investigation and appropriate resolution.    </w:t>
      </w:r>
    </w:p>
    <w:p w14:paraId="248F03C0" w14:textId="77777777" w:rsidR="00F9557F" w:rsidRDefault="00655865">
      <w:r>
        <w:t xml:space="preserve"> </w:t>
      </w:r>
    </w:p>
    <w:p w14:paraId="1D8F9D1E" w14:textId="77777777" w:rsidR="006B50F3" w:rsidRDefault="006B50F3" w:rsidP="006B50F3">
      <w:pPr>
        <w:pStyle w:val="Heading1"/>
      </w:pPr>
      <w:r>
        <w:t>Confidentiality</w:t>
      </w:r>
      <w:r w:rsidR="00D7144A">
        <w:t xml:space="preserve"> &amp; Publicity</w:t>
      </w:r>
    </w:p>
    <w:p w14:paraId="298B3C80" w14:textId="77777777" w:rsidR="00131FE5" w:rsidRDefault="00D7144A">
      <w:r>
        <w:t>This Service Agreement is not deemed sensitive and therefore does not have any restrictions on circulation.</w:t>
      </w:r>
      <w:r w:rsidR="00726413">
        <w:t xml:space="preserve"> </w:t>
      </w:r>
    </w:p>
    <w:p w14:paraId="5D9CC19B" w14:textId="77777777" w:rsidR="005C601D" w:rsidRDefault="005C601D"/>
    <w:p w14:paraId="61BC3F9B" w14:textId="77777777" w:rsidR="003B513B" w:rsidRPr="003B513B" w:rsidRDefault="00222165" w:rsidP="00222165">
      <w:pPr>
        <w:pStyle w:val="Heading1"/>
      </w:pPr>
      <w:r w:rsidRPr="00CA4DCD">
        <w:t>Publication</w:t>
      </w:r>
    </w:p>
    <w:p w14:paraId="0DE11785" w14:textId="62CBC284" w:rsidR="003B513B" w:rsidRDefault="003B513B" w:rsidP="00222165">
      <w:pPr>
        <w:rPr>
          <w:rFonts w:cs="Arial"/>
        </w:rPr>
      </w:pPr>
      <w:r w:rsidRPr="003B513B">
        <w:rPr>
          <w:rFonts w:cs="Arial"/>
        </w:rPr>
        <w:t>This Ser</w:t>
      </w:r>
      <w:r>
        <w:rPr>
          <w:rFonts w:cs="Arial"/>
        </w:rPr>
        <w:t xml:space="preserve">vice Agreement will be published </w:t>
      </w:r>
      <w:r w:rsidR="0020119F">
        <w:rPr>
          <w:rFonts w:cs="Arial"/>
        </w:rPr>
        <w:t>o</w:t>
      </w:r>
      <w:r>
        <w:rPr>
          <w:rFonts w:cs="Arial"/>
        </w:rPr>
        <w:t>n</w:t>
      </w:r>
      <w:r w:rsidR="0020119F">
        <w:rPr>
          <w:rFonts w:cs="Arial"/>
        </w:rPr>
        <w:t xml:space="preserve"> the </w:t>
      </w:r>
      <w:r>
        <w:rPr>
          <w:rFonts w:cs="Arial"/>
        </w:rPr>
        <w:t xml:space="preserve">SLC’s </w:t>
      </w:r>
      <w:r w:rsidR="0020119F">
        <w:rPr>
          <w:rFonts w:cs="Arial"/>
        </w:rPr>
        <w:t>Learning Provider Services w</w:t>
      </w:r>
      <w:r w:rsidR="007B0DEC">
        <w:rPr>
          <w:rFonts w:cs="Arial"/>
        </w:rPr>
        <w:t xml:space="preserve">ebsite. </w:t>
      </w:r>
    </w:p>
    <w:p w14:paraId="0F50069C" w14:textId="77777777" w:rsidR="003B513B" w:rsidRDefault="003B513B" w:rsidP="00222165">
      <w:pPr>
        <w:rPr>
          <w:rFonts w:cs="Arial"/>
        </w:rPr>
      </w:pPr>
    </w:p>
    <w:p w14:paraId="3A8592C4" w14:textId="77777777" w:rsidR="003B513B" w:rsidRPr="0094099D" w:rsidRDefault="003B513B" w:rsidP="003B513B">
      <w:pPr>
        <w:pStyle w:val="Heading1"/>
      </w:pPr>
      <w:r>
        <w:t>Approvals</w:t>
      </w:r>
    </w:p>
    <w:p w14:paraId="315C4DAF" w14:textId="77777777" w:rsidR="00222165" w:rsidRDefault="00222165" w:rsidP="00222165">
      <w:pPr>
        <w:rPr>
          <w:rFonts w:cs="Arial"/>
          <w:b/>
          <w:szCs w:val="21"/>
        </w:rPr>
      </w:pPr>
    </w:p>
    <w:p w14:paraId="3D1CFC4E" w14:textId="77777777" w:rsidR="00222165" w:rsidRPr="007B0DEC" w:rsidRDefault="007B0DEC" w:rsidP="00222165">
      <w:pPr>
        <w:rPr>
          <w:rFonts w:cs="Arial"/>
          <w:szCs w:val="21"/>
        </w:rPr>
      </w:pPr>
      <w:r w:rsidRPr="007B0DEC">
        <w:rPr>
          <w:rFonts w:cs="Arial"/>
          <w:szCs w:val="21"/>
        </w:rPr>
        <w:t xml:space="preserve">Signatories to the </w:t>
      </w:r>
      <w:r>
        <w:rPr>
          <w:rFonts w:cs="Arial"/>
          <w:szCs w:val="21"/>
        </w:rPr>
        <w:t>Service Agreement are</w:t>
      </w:r>
      <w:r w:rsidR="0030449E">
        <w:rPr>
          <w:rFonts w:cs="Arial"/>
          <w:szCs w:val="21"/>
        </w:rPr>
        <w:t xml:space="preserve"> as below. </w:t>
      </w:r>
    </w:p>
    <w:p w14:paraId="1C080BFD" w14:textId="77777777" w:rsidR="00222165" w:rsidRDefault="001129EC" w:rsidP="00222165">
      <w:pPr>
        <w:ind w:firstLine="720"/>
        <w:rPr>
          <w:rFonts w:cs="Arial"/>
          <w:b/>
          <w:szCs w:val="21"/>
        </w:rPr>
      </w:pPr>
      <w:r>
        <w:rPr>
          <w:rFonts w:cs="Arial"/>
          <w:noProof/>
          <w:szCs w:val="21"/>
          <w:lang w:eastAsia="en-GB"/>
        </w:rPr>
        <mc:AlternateContent>
          <mc:Choice Requires="wps">
            <w:drawing>
              <wp:anchor distT="0" distB="0" distL="114300" distR="114300" simplePos="0" relativeHeight="251657216" behindDoc="1" locked="0" layoutInCell="1" allowOverlap="1" wp14:anchorId="4179653C" wp14:editId="3D4FA467">
                <wp:simplePos x="0" y="0"/>
                <wp:positionH relativeFrom="column">
                  <wp:posOffset>0</wp:posOffset>
                </wp:positionH>
                <wp:positionV relativeFrom="paragraph">
                  <wp:posOffset>19050</wp:posOffset>
                </wp:positionV>
                <wp:extent cx="5267325" cy="1791335"/>
                <wp:effectExtent l="0" t="0" r="9525"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1791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44D00" id="Rectangle 2" o:spid="_x0000_s1026" style="position:absolute;margin-left:0;margin-top:1.5pt;width:414.75pt;height:14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"/>
            </w:pict>
          </mc:Fallback>
        </mc:AlternateContent>
      </w:r>
    </w:p>
    <w:p w14:paraId="7BC09F9B" w14:textId="77777777" w:rsidR="00222165" w:rsidRDefault="00222165" w:rsidP="00222165">
      <w:pPr>
        <w:ind w:firstLine="720"/>
        <w:rPr>
          <w:rFonts w:cs="Arial"/>
          <w:b/>
          <w:szCs w:val="21"/>
        </w:rPr>
      </w:pPr>
      <w:r w:rsidRPr="001357B1">
        <w:rPr>
          <w:rFonts w:cs="Arial"/>
          <w:b/>
          <w:szCs w:val="21"/>
        </w:rPr>
        <w:t xml:space="preserve">Signed on behalf of </w:t>
      </w:r>
      <w:r>
        <w:rPr>
          <w:rFonts w:cs="Arial"/>
          <w:b/>
          <w:szCs w:val="21"/>
        </w:rPr>
        <w:t>SLC</w:t>
      </w:r>
      <w:r w:rsidRPr="001357B1">
        <w:rPr>
          <w:rFonts w:cs="Arial"/>
          <w:b/>
          <w:szCs w:val="21"/>
        </w:rPr>
        <w:t>:</w:t>
      </w:r>
    </w:p>
    <w:p w14:paraId="2A72CAD5" w14:textId="77777777" w:rsidR="003D1D2A" w:rsidRDefault="003D1D2A" w:rsidP="00222165">
      <w:pPr>
        <w:ind w:firstLine="720"/>
        <w:rPr>
          <w:rFonts w:cs="Arial"/>
          <w:b/>
          <w:szCs w:val="21"/>
        </w:rPr>
      </w:pPr>
    </w:p>
    <w:p w14:paraId="2FCA045D" w14:textId="6B6D7643" w:rsidR="003D1D2A" w:rsidRPr="00D47F4E" w:rsidRDefault="003D1D2A" w:rsidP="003D1D2A">
      <w:pPr>
        <w:ind w:firstLine="720"/>
        <w:rPr>
          <w:rFonts w:cs="Arial"/>
          <w:color w:val="EE0000"/>
          <w:szCs w:val="21"/>
        </w:rPr>
      </w:pPr>
      <w:r w:rsidRPr="000F508C">
        <w:rPr>
          <w:rFonts w:cs="Arial"/>
          <w:szCs w:val="21"/>
        </w:rPr>
        <w:t>Derek Ross, SLC Executive Director HE/FE Reform</w:t>
      </w:r>
      <w:r w:rsidRPr="00D47F4E">
        <w:rPr>
          <w:rFonts w:cs="Arial"/>
          <w:color w:val="EE0000"/>
          <w:szCs w:val="21"/>
        </w:rPr>
        <w:tab/>
      </w:r>
      <w:r w:rsidRPr="00A856B8">
        <w:rPr>
          <w:rFonts w:cs="Arial"/>
          <w:color w:val="000000" w:themeColor="text1"/>
          <w:szCs w:val="21"/>
        </w:rPr>
        <w:t xml:space="preserve">Date: </w:t>
      </w:r>
      <w:r w:rsidR="00A856B8" w:rsidRPr="00A856B8">
        <w:rPr>
          <w:rFonts w:cs="Arial"/>
          <w:color w:val="000000" w:themeColor="text1"/>
          <w:szCs w:val="21"/>
        </w:rPr>
        <w:t>30</w:t>
      </w:r>
      <w:r w:rsidRPr="00A856B8">
        <w:rPr>
          <w:rFonts w:cs="Arial"/>
          <w:color w:val="000000" w:themeColor="text1"/>
          <w:szCs w:val="21"/>
        </w:rPr>
        <w:t>/07/2025</w:t>
      </w:r>
    </w:p>
    <w:p w14:paraId="528AFA1F" w14:textId="4E8D46A2" w:rsidR="00222165" w:rsidRPr="00D47F4E" w:rsidRDefault="00222165" w:rsidP="008F677C">
      <w:pPr>
        <w:ind w:firstLine="720"/>
        <w:rPr>
          <w:rFonts w:cs="Arial"/>
          <w:color w:val="EE0000"/>
          <w:szCs w:val="21"/>
        </w:rPr>
      </w:pPr>
    </w:p>
    <w:p w14:paraId="38AA6748" w14:textId="77777777" w:rsidR="00222165" w:rsidRDefault="001129EC" w:rsidP="00222165">
      <w:pPr>
        <w:ind w:firstLine="720"/>
        <w:rPr>
          <w:rFonts w:cs="Arial"/>
          <w:b/>
          <w:szCs w:val="21"/>
        </w:rPr>
      </w:pPr>
      <w:r>
        <w:rPr>
          <w:rFonts w:cs="Arial"/>
          <w:noProof/>
          <w:szCs w:val="21"/>
          <w:lang w:eastAsia="en-GB"/>
        </w:rPr>
        <mc:AlternateContent>
          <mc:Choice Requires="wps">
            <w:drawing>
              <wp:anchor distT="0" distB="0" distL="114300" distR="114300" simplePos="0" relativeHeight="251658240" behindDoc="1" locked="0" layoutInCell="1" allowOverlap="1" wp14:anchorId="15AFEBE6" wp14:editId="18F98D54">
                <wp:simplePos x="0" y="0"/>
                <wp:positionH relativeFrom="column">
                  <wp:posOffset>0</wp:posOffset>
                </wp:positionH>
                <wp:positionV relativeFrom="paragraph">
                  <wp:posOffset>72390</wp:posOffset>
                </wp:positionV>
                <wp:extent cx="5267325" cy="1838325"/>
                <wp:effectExtent l="0" t="0" r="952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1838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358FB" id="Rectangle 3" o:spid="_x0000_s1026" style="position:absolute;margin-left:0;margin-top:5.7pt;width:414.75pt;height:14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"/>
            </w:pict>
          </mc:Fallback>
        </mc:AlternateContent>
      </w:r>
    </w:p>
    <w:p w14:paraId="173EDBED" w14:textId="37F0ED7C" w:rsidR="001D3054" w:rsidRDefault="00C77545" w:rsidP="001D3054">
      <w:pPr>
        <w:spacing w:after="0" w:line="240" w:lineRule="auto"/>
        <w:ind w:firstLine="720"/>
        <w:rPr>
          <w:rFonts w:cs="Arial"/>
          <w:b/>
          <w:szCs w:val="21"/>
        </w:rPr>
      </w:pPr>
      <w:r w:rsidRPr="001357B1">
        <w:rPr>
          <w:rFonts w:cs="Arial"/>
          <w:b/>
          <w:szCs w:val="21"/>
        </w:rPr>
        <w:t xml:space="preserve">Signed on behalf of </w:t>
      </w:r>
      <w:r w:rsidR="00B60A81" w:rsidRPr="00BB5AEF">
        <w:rPr>
          <w:rFonts w:ascii="Arial" w:hAnsi="Arial" w:cs="Arial"/>
          <w:b/>
          <w:sz w:val="20"/>
          <w:szCs w:val="20"/>
        </w:rPr>
        <w:t>[</w:t>
      </w:r>
      <w:r w:rsidR="00B60A81" w:rsidRPr="00AF4CD1">
        <w:rPr>
          <w:rFonts w:ascii="Arial" w:hAnsi="Arial" w:cs="Arial"/>
          <w:b/>
          <w:sz w:val="20"/>
          <w:szCs w:val="20"/>
          <w:highlight w:val="yellow"/>
        </w:rPr>
        <w:t>Insert provider name</w:t>
      </w:r>
      <w:r w:rsidR="00B60A81" w:rsidRPr="00BB5AEF">
        <w:rPr>
          <w:rFonts w:ascii="Arial" w:hAnsi="Arial" w:cs="Arial"/>
          <w:sz w:val="20"/>
          <w:szCs w:val="20"/>
        </w:rPr>
        <w:t>]</w:t>
      </w:r>
    </w:p>
    <w:p w14:paraId="6187DD33" w14:textId="77777777" w:rsidR="008F677C" w:rsidRDefault="008F677C" w:rsidP="008F677C">
      <w:pPr>
        <w:ind w:firstLine="720"/>
        <w:rPr>
          <w:rFonts w:cs="Arial"/>
          <w:szCs w:val="21"/>
        </w:rPr>
      </w:pPr>
    </w:p>
    <w:p w14:paraId="343DE005" w14:textId="77777777" w:rsidR="002F533B" w:rsidRDefault="002F533B" w:rsidP="008F677C">
      <w:pPr>
        <w:ind w:firstLine="720"/>
        <w:rPr>
          <w:rFonts w:cs="Arial"/>
          <w:szCs w:val="21"/>
        </w:rPr>
      </w:pPr>
    </w:p>
    <w:p w14:paraId="44C7E846" w14:textId="4AAC8385" w:rsidR="00222165" w:rsidRDefault="001D3054" w:rsidP="008F677C">
      <w:pPr>
        <w:ind w:firstLine="720"/>
        <w:rPr>
          <w:rFonts w:cs="Arial"/>
          <w:szCs w:val="21"/>
        </w:rPr>
      </w:pPr>
      <w:r>
        <w:rPr>
          <w:rFonts w:cs="Arial"/>
          <w:szCs w:val="21"/>
        </w:rPr>
        <w:t>ANO</w:t>
      </w:r>
      <w:r w:rsidR="00222165">
        <w:rPr>
          <w:rFonts w:cs="Arial"/>
          <w:szCs w:val="21"/>
        </w:rPr>
        <w:tab/>
      </w:r>
      <w:r w:rsidR="00222165">
        <w:rPr>
          <w:rFonts w:cs="Arial"/>
          <w:szCs w:val="21"/>
        </w:rPr>
        <w:tab/>
      </w:r>
      <w:r w:rsidR="00222165">
        <w:rPr>
          <w:rFonts w:cs="Arial"/>
          <w:szCs w:val="21"/>
        </w:rPr>
        <w:tab/>
      </w:r>
      <w:r w:rsidR="00EA23AC">
        <w:rPr>
          <w:rFonts w:cs="Arial"/>
          <w:szCs w:val="21"/>
        </w:rPr>
        <w:t xml:space="preserve">                                            </w:t>
      </w:r>
      <w:r w:rsidR="00222165">
        <w:rPr>
          <w:rFonts w:cs="Arial"/>
          <w:szCs w:val="21"/>
        </w:rPr>
        <w:t>Date:</w:t>
      </w:r>
    </w:p>
    <w:p w14:paraId="442691B5" w14:textId="77777777" w:rsidR="0030449E" w:rsidRDefault="0030449E" w:rsidP="0030449E">
      <w:pPr>
        <w:ind w:firstLine="720"/>
        <w:rPr>
          <w:rFonts w:cs="Arial"/>
          <w:b/>
          <w:szCs w:val="21"/>
        </w:rPr>
      </w:pPr>
    </w:p>
    <w:p w14:paraId="16B0A326" w14:textId="77777777" w:rsidR="002F533B" w:rsidRDefault="002F533B" w:rsidP="0030449E">
      <w:pPr>
        <w:ind w:firstLine="720"/>
        <w:rPr>
          <w:rFonts w:cs="Arial"/>
          <w:b/>
          <w:szCs w:val="21"/>
        </w:rPr>
      </w:pPr>
    </w:p>
    <w:p w14:paraId="116FACD8" w14:textId="77777777" w:rsidR="00F9557F" w:rsidRPr="009E74B5" w:rsidRDefault="00F9557F" w:rsidP="0030449E">
      <w:pPr>
        <w:ind w:firstLine="720"/>
        <w:rPr>
          <w:rFonts w:cs="Arial"/>
          <w:szCs w:val="21"/>
        </w:rPr>
      </w:pPr>
    </w:p>
    <w:p w14:paraId="04468B40" w14:textId="77777777" w:rsidR="00D7144A" w:rsidRDefault="00222165" w:rsidP="00222165">
      <w:r>
        <w:rPr>
          <w:rFonts w:cs="Arial"/>
          <w:szCs w:val="21"/>
        </w:rPr>
        <w:br w:type="page"/>
      </w:r>
    </w:p>
    <w:p w14:paraId="2158D33E" w14:textId="77777777" w:rsidR="00D7144A" w:rsidRDefault="00D7144A" w:rsidP="00D7144A">
      <w:pPr>
        <w:pStyle w:val="Heading1"/>
      </w:pPr>
      <w:r>
        <w:lastRenderedPageBreak/>
        <w:t>A</w:t>
      </w:r>
      <w:r w:rsidR="00AB7FF6">
        <w:t>ppendix</w:t>
      </w:r>
      <w:r>
        <w:t xml:space="preserve"> 1</w:t>
      </w:r>
      <w:r>
        <w:tab/>
        <w:t xml:space="preserve">Service Standards </w:t>
      </w:r>
    </w:p>
    <w:p w14:paraId="6A2DCA06" w14:textId="77777777" w:rsidR="005C601D" w:rsidRDefault="005C601D" w:rsidP="005C601D">
      <w:r>
        <w:t>1</w:t>
      </w:r>
      <w:r w:rsidR="00AB7FF6">
        <w:t>1</w:t>
      </w:r>
      <w:r>
        <w:t>.1</w:t>
      </w:r>
      <w:r>
        <w:tab/>
        <w:t xml:space="preserve">Service Standards apply to </w:t>
      </w:r>
      <w:r w:rsidR="002E32BC">
        <w:t>FELPs</w:t>
      </w:r>
    </w:p>
    <w:tbl>
      <w:tblPr>
        <w:tblW w:w="9498" w:type="dxa"/>
        <w:tblInd w:w="144" w:type="dxa"/>
        <w:tblCellMar>
          <w:left w:w="0" w:type="dxa"/>
          <w:right w:w="0" w:type="dxa"/>
        </w:tblCellMar>
        <w:tblLook w:val="04A0" w:firstRow="1" w:lastRow="0" w:firstColumn="1" w:lastColumn="0" w:noHBand="0" w:noVBand="1"/>
      </w:tblPr>
      <w:tblGrid>
        <w:gridCol w:w="1666"/>
        <w:gridCol w:w="4997"/>
        <w:gridCol w:w="2835"/>
      </w:tblGrid>
      <w:tr w:rsidR="00C259F1" w:rsidRPr="00940AC3" w14:paraId="14D318E8" w14:textId="77777777" w:rsidTr="004019A8">
        <w:trPr>
          <w:trHeight w:val="289"/>
        </w:trPr>
        <w:tc>
          <w:tcPr>
            <w:tcW w:w="166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9F224E9" w14:textId="77777777" w:rsidR="00C259F1" w:rsidRPr="00940AC3" w:rsidRDefault="00C259F1" w:rsidP="004019A8">
            <w:pPr>
              <w:spacing w:after="0" w:line="240" w:lineRule="auto"/>
            </w:pPr>
            <w:r w:rsidRPr="00940AC3">
              <w:rPr>
                <w:b/>
                <w:bCs/>
              </w:rPr>
              <w:t xml:space="preserve">Process </w:t>
            </w:r>
          </w:p>
        </w:tc>
        <w:tc>
          <w:tcPr>
            <w:tcW w:w="499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97EE84B" w14:textId="77777777" w:rsidR="00C259F1" w:rsidRPr="00940AC3" w:rsidRDefault="00C259F1" w:rsidP="004019A8">
            <w:pPr>
              <w:spacing w:after="0" w:line="240" w:lineRule="auto"/>
            </w:pPr>
            <w:r w:rsidRPr="00940AC3">
              <w:rPr>
                <w:b/>
                <w:bCs/>
              </w:rPr>
              <w:t xml:space="preserve">Elapse Time to Complete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74A26394" w14:textId="208970EB" w:rsidR="00C259F1" w:rsidRPr="00940AC3" w:rsidRDefault="00C259F1" w:rsidP="004019A8">
            <w:pPr>
              <w:spacing w:after="0" w:line="240" w:lineRule="auto"/>
              <w:rPr>
                <w:b/>
                <w:bCs/>
              </w:rPr>
            </w:pPr>
            <w:r w:rsidRPr="00940AC3">
              <w:rPr>
                <w:b/>
                <w:bCs/>
              </w:rPr>
              <w:t xml:space="preserve"> </w:t>
            </w:r>
            <w:r w:rsidR="007C0CBC">
              <w:rPr>
                <w:b/>
                <w:bCs/>
              </w:rPr>
              <w:t xml:space="preserve">     </w:t>
            </w:r>
            <w:r w:rsidRPr="00940AC3">
              <w:rPr>
                <w:b/>
                <w:bCs/>
              </w:rPr>
              <w:t>Accuracy</w:t>
            </w:r>
          </w:p>
        </w:tc>
      </w:tr>
      <w:tr w:rsidR="00C259F1" w:rsidRPr="00940AC3" w14:paraId="673C047F" w14:textId="77777777" w:rsidTr="004019A8">
        <w:trPr>
          <w:trHeight w:val="1325"/>
        </w:trPr>
        <w:tc>
          <w:tcPr>
            <w:tcW w:w="166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016F44BE" w14:textId="77777777" w:rsidR="00C259F1" w:rsidRPr="00940AC3" w:rsidRDefault="00C259F1" w:rsidP="004019A8">
            <w:pPr>
              <w:spacing w:after="0" w:line="240" w:lineRule="auto"/>
              <w:rPr>
                <w:rFonts w:eastAsia="Times New Roman" w:cs="Arial"/>
                <w:sz w:val="20"/>
                <w:szCs w:val="20"/>
                <w:lang w:eastAsia="en-GB"/>
              </w:rPr>
            </w:pPr>
            <w:r w:rsidRPr="00940AC3">
              <w:rPr>
                <w:rFonts w:eastAsia="Times New Roman" w:cs="Arial"/>
                <w:kern w:val="24"/>
                <w:sz w:val="20"/>
                <w:szCs w:val="20"/>
                <w:lang w:eastAsia="en-GB"/>
              </w:rPr>
              <w:t xml:space="preserve">Verification of Study Programme &amp; </w:t>
            </w:r>
          </w:p>
          <w:p w14:paraId="24ACD2F0" w14:textId="77777777" w:rsidR="00C259F1" w:rsidRPr="00940AC3" w:rsidRDefault="00C259F1" w:rsidP="004019A8">
            <w:pPr>
              <w:spacing w:after="0" w:line="240" w:lineRule="auto"/>
              <w:rPr>
                <w:rFonts w:eastAsia="Times New Roman" w:cs="Arial"/>
                <w:kern w:val="24"/>
                <w:sz w:val="20"/>
                <w:szCs w:val="20"/>
                <w:lang w:eastAsia="en-GB"/>
              </w:rPr>
            </w:pPr>
            <w:r w:rsidRPr="00940AC3">
              <w:rPr>
                <w:rFonts w:eastAsia="Times New Roman" w:cs="Arial"/>
                <w:kern w:val="24"/>
                <w:sz w:val="20"/>
                <w:szCs w:val="20"/>
                <w:lang w:eastAsia="en-GB"/>
              </w:rPr>
              <w:t xml:space="preserve">Notification of Changes </w:t>
            </w:r>
          </w:p>
        </w:tc>
        <w:tc>
          <w:tcPr>
            <w:tcW w:w="499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15251795" w14:textId="77777777" w:rsidR="00C259F1" w:rsidRPr="00940AC3" w:rsidRDefault="00C259F1" w:rsidP="004019A8">
            <w:pPr>
              <w:spacing w:after="0" w:line="240" w:lineRule="auto"/>
              <w:rPr>
                <w:rFonts w:eastAsia="Times New Roman" w:cs="Arial"/>
                <w:kern w:val="24"/>
                <w:sz w:val="20"/>
                <w:szCs w:val="20"/>
                <w:lang w:eastAsia="en-GB"/>
              </w:rPr>
            </w:pPr>
            <w:r w:rsidRPr="00940AC3">
              <w:rPr>
                <w:rFonts w:eastAsia="Times New Roman" w:cs="Arial"/>
                <w:kern w:val="24"/>
                <w:sz w:val="20"/>
                <w:szCs w:val="20"/>
                <w:lang w:eastAsia="en-GB"/>
              </w:rPr>
              <w:t xml:space="preserve">No timescale proposed.  It is a condition of Attendance Confirmation that details are correct.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4B067EAA" w14:textId="77777777" w:rsidR="00C259F1" w:rsidRPr="00940AC3" w:rsidRDefault="00C259F1" w:rsidP="001A3925">
            <w:pPr>
              <w:spacing w:after="0" w:line="240" w:lineRule="auto"/>
              <w:jc w:val="center"/>
              <w:rPr>
                <w:rFonts w:eastAsia="Times New Roman" w:cs="Arial"/>
                <w:kern w:val="24"/>
                <w:sz w:val="20"/>
                <w:szCs w:val="20"/>
                <w:lang w:eastAsia="en-GB"/>
              </w:rPr>
            </w:pPr>
          </w:p>
          <w:p w14:paraId="5F4B4FAA" w14:textId="77777777" w:rsidR="00C259F1" w:rsidRPr="00940AC3" w:rsidRDefault="00C259F1" w:rsidP="001A3925">
            <w:pPr>
              <w:spacing w:after="0" w:line="240" w:lineRule="auto"/>
              <w:jc w:val="center"/>
              <w:rPr>
                <w:rFonts w:eastAsia="Times New Roman" w:cs="Arial"/>
                <w:kern w:val="24"/>
                <w:sz w:val="20"/>
                <w:szCs w:val="20"/>
                <w:lang w:eastAsia="en-GB"/>
              </w:rPr>
            </w:pPr>
            <w:r w:rsidRPr="00940AC3">
              <w:rPr>
                <w:rFonts w:eastAsia="Times New Roman" w:cs="Arial"/>
                <w:kern w:val="24"/>
                <w:sz w:val="20"/>
                <w:szCs w:val="20"/>
                <w:lang w:eastAsia="en-GB"/>
              </w:rPr>
              <w:t>100% accuracy for approved applications before attendance confirmation.</w:t>
            </w:r>
          </w:p>
        </w:tc>
      </w:tr>
      <w:tr w:rsidR="00C259F1" w:rsidRPr="00940AC3" w14:paraId="2BB5F041" w14:textId="77777777" w:rsidTr="004019A8">
        <w:trPr>
          <w:trHeight w:val="1325"/>
        </w:trPr>
        <w:tc>
          <w:tcPr>
            <w:tcW w:w="166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48570E1" w14:textId="77777777" w:rsidR="00C259F1" w:rsidRPr="00940AC3" w:rsidRDefault="00C259F1" w:rsidP="004019A8">
            <w:pPr>
              <w:spacing w:after="0" w:line="240" w:lineRule="auto"/>
              <w:rPr>
                <w:rFonts w:eastAsia="Times New Roman" w:cs="Arial"/>
                <w:sz w:val="20"/>
                <w:szCs w:val="20"/>
                <w:lang w:eastAsia="en-GB"/>
              </w:rPr>
            </w:pPr>
            <w:r w:rsidRPr="00940AC3">
              <w:rPr>
                <w:rFonts w:eastAsia="Times New Roman" w:cs="Arial"/>
                <w:kern w:val="24"/>
                <w:sz w:val="20"/>
                <w:szCs w:val="20"/>
                <w:lang w:eastAsia="en-GB"/>
              </w:rPr>
              <w:t xml:space="preserve">Unique Learning Numbers </w:t>
            </w:r>
          </w:p>
        </w:tc>
        <w:tc>
          <w:tcPr>
            <w:tcW w:w="499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E481B11" w14:textId="77777777" w:rsidR="00C259F1" w:rsidRPr="00940AC3" w:rsidRDefault="00C259F1" w:rsidP="004019A8">
            <w:pPr>
              <w:spacing w:after="0" w:line="240" w:lineRule="auto"/>
              <w:rPr>
                <w:rFonts w:eastAsia="Times New Roman" w:cs="Arial"/>
                <w:kern w:val="24"/>
                <w:sz w:val="20"/>
                <w:szCs w:val="20"/>
                <w:lang w:eastAsia="en-GB"/>
              </w:rPr>
            </w:pPr>
            <w:r w:rsidRPr="00940AC3">
              <w:rPr>
                <w:rFonts w:eastAsia="Times New Roman" w:cs="Arial"/>
                <w:kern w:val="24"/>
                <w:sz w:val="20"/>
                <w:szCs w:val="20"/>
                <w:lang w:eastAsia="en-GB"/>
              </w:rPr>
              <w:t>99% ULNs to be entered within 6 weeks of the learning aim start date.</w:t>
            </w:r>
          </w:p>
          <w:p w14:paraId="7F431EE8" w14:textId="77777777" w:rsidR="00C259F1" w:rsidRPr="00940AC3" w:rsidRDefault="00C259F1" w:rsidP="004019A8">
            <w:pPr>
              <w:spacing w:after="0" w:line="240" w:lineRule="auto"/>
              <w:rPr>
                <w:rFonts w:eastAsia="Times New Roman" w:cs="Arial"/>
                <w:kern w:val="24"/>
                <w:sz w:val="20"/>
                <w:szCs w:val="20"/>
                <w:lang w:eastAsia="en-GB"/>
              </w:rPr>
            </w:pPr>
          </w:p>
          <w:p w14:paraId="4D05B247" w14:textId="77777777" w:rsidR="00C259F1" w:rsidRPr="00940AC3" w:rsidRDefault="00C259F1" w:rsidP="004019A8">
            <w:pPr>
              <w:spacing w:after="0" w:line="240" w:lineRule="auto"/>
              <w:rPr>
                <w:rFonts w:eastAsia="Times New Roman" w:cs="Arial"/>
                <w:sz w:val="20"/>
                <w:szCs w:val="20"/>
                <w:lang w:eastAsia="en-GB"/>
              </w:rPr>
            </w:pPr>
            <w:r w:rsidRPr="00940AC3">
              <w:rPr>
                <w:rFonts w:eastAsia="Times New Roman" w:cs="Arial"/>
                <w:kern w:val="24"/>
                <w:sz w:val="20"/>
                <w:szCs w:val="20"/>
                <w:lang w:eastAsia="en-GB"/>
              </w:rPr>
              <w:t>Where an application is received more than 4 weeks after the learning aim start date, the ULN must be entered within 2 weeks of the application received date.</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6E951B57" w14:textId="77777777" w:rsidR="00C259F1" w:rsidRPr="00940AC3" w:rsidRDefault="00C259F1" w:rsidP="001A3925">
            <w:pPr>
              <w:spacing w:after="0" w:line="240" w:lineRule="auto"/>
              <w:jc w:val="center"/>
              <w:rPr>
                <w:rFonts w:eastAsia="Times New Roman" w:cs="Arial"/>
                <w:kern w:val="24"/>
                <w:sz w:val="20"/>
                <w:szCs w:val="20"/>
                <w:lang w:eastAsia="en-GB"/>
              </w:rPr>
            </w:pPr>
          </w:p>
          <w:p w14:paraId="6946D8BB" w14:textId="77777777" w:rsidR="00C259F1" w:rsidRPr="00940AC3" w:rsidRDefault="00C259F1" w:rsidP="001A3925">
            <w:pPr>
              <w:spacing w:after="0" w:line="240" w:lineRule="auto"/>
              <w:jc w:val="center"/>
              <w:rPr>
                <w:rFonts w:eastAsia="Times New Roman" w:cs="Arial"/>
                <w:kern w:val="24"/>
                <w:sz w:val="20"/>
                <w:szCs w:val="20"/>
                <w:lang w:eastAsia="en-GB"/>
              </w:rPr>
            </w:pPr>
          </w:p>
          <w:p w14:paraId="5DF56F26" w14:textId="77777777" w:rsidR="00C259F1" w:rsidRPr="00940AC3" w:rsidRDefault="00C259F1" w:rsidP="001A3925">
            <w:pPr>
              <w:spacing w:after="0" w:line="240" w:lineRule="auto"/>
              <w:jc w:val="center"/>
              <w:rPr>
                <w:rFonts w:eastAsia="Times New Roman" w:cs="Arial"/>
                <w:kern w:val="24"/>
                <w:sz w:val="20"/>
                <w:szCs w:val="20"/>
                <w:lang w:eastAsia="en-GB"/>
              </w:rPr>
            </w:pPr>
            <w:r w:rsidRPr="00940AC3">
              <w:rPr>
                <w:rFonts w:eastAsia="Times New Roman" w:cs="Arial"/>
                <w:kern w:val="24"/>
                <w:sz w:val="20"/>
                <w:szCs w:val="20"/>
                <w:lang w:eastAsia="en-GB"/>
              </w:rPr>
              <w:t>99%</w:t>
            </w:r>
          </w:p>
        </w:tc>
      </w:tr>
      <w:tr w:rsidR="00C259F1" w:rsidRPr="00940AC3" w14:paraId="08C1B01D" w14:textId="77777777" w:rsidTr="004019A8">
        <w:trPr>
          <w:trHeight w:val="2340"/>
        </w:trPr>
        <w:tc>
          <w:tcPr>
            <w:tcW w:w="166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DCEB338" w14:textId="77777777" w:rsidR="00C259F1" w:rsidRPr="004A647C" w:rsidRDefault="00C259F1" w:rsidP="004019A8">
            <w:pPr>
              <w:spacing w:after="0" w:line="240" w:lineRule="auto"/>
              <w:rPr>
                <w:rFonts w:eastAsia="Times New Roman" w:cs="Arial"/>
                <w:color w:val="000000" w:themeColor="text1"/>
                <w:sz w:val="20"/>
                <w:szCs w:val="20"/>
                <w:lang w:eastAsia="en-GB"/>
              </w:rPr>
            </w:pPr>
            <w:r w:rsidRPr="004A647C">
              <w:rPr>
                <w:rFonts w:eastAsia="Times New Roman" w:cs="Arial"/>
                <w:color w:val="000000" w:themeColor="text1"/>
                <w:kern w:val="24"/>
                <w:sz w:val="20"/>
                <w:szCs w:val="20"/>
                <w:lang w:eastAsia="en-GB"/>
              </w:rPr>
              <w:t xml:space="preserve">Initial Attendance Confirmation </w:t>
            </w:r>
          </w:p>
        </w:tc>
        <w:tc>
          <w:tcPr>
            <w:tcW w:w="499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DBE61BA" w14:textId="10252676" w:rsidR="00C259F1" w:rsidRPr="004A647C" w:rsidRDefault="00EE351E" w:rsidP="004019A8">
            <w:pPr>
              <w:spacing w:after="0" w:line="240" w:lineRule="auto"/>
              <w:rPr>
                <w:rFonts w:eastAsia="Times New Roman" w:cs="Arial"/>
                <w:color w:val="000000" w:themeColor="text1"/>
                <w:kern w:val="24"/>
                <w:sz w:val="20"/>
                <w:szCs w:val="20"/>
                <w:lang w:eastAsia="en-GB"/>
              </w:rPr>
            </w:pPr>
            <w:r w:rsidRPr="004A647C">
              <w:rPr>
                <w:rFonts w:eastAsia="Times New Roman" w:cs="Arial"/>
                <w:color w:val="000000" w:themeColor="text1"/>
                <w:kern w:val="24"/>
                <w:sz w:val="20"/>
                <w:szCs w:val="20"/>
                <w:lang w:eastAsia="en-GB"/>
              </w:rPr>
              <w:t>85</w:t>
            </w:r>
            <w:r w:rsidR="00C259F1" w:rsidRPr="004A647C">
              <w:rPr>
                <w:rFonts w:eastAsia="Times New Roman" w:cs="Arial"/>
                <w:color w:val="000000" w:themeColor="text1"/>
                <w:kern w:val="24"/>
                <w:sz w:val="20"/>
                <w:szCs w:val="20"/>
                <w:lang w:eastAsia="en-GB"/>
              </w:rPr>
              <w:t>% Learner attendance confirmations to be entered within 6 weeks of the learning aim start date if the application is approved.</w:t>
            </w:r>
          </w:p>
          <w:p w14:paraId="0BB81C7A" w14:textId="77777777" w:rsidR="00C259F1" w:rsidRPr="004A647C" w:rsidRDefault="00C259F1" w:rsidP="004019A8">
            <w:pPr>
              <w:spacing w:after="0" w:line="240" w:lineRule="auto"/>
              <w:rPr>
                <w:rFonts w:eastAsia="Times New Roman" w:cs="Arial"/>
                <w:color w:val="000000" w:themeColor="text1"/>
                <w:kern w:val="24"/>
                <w:sz w:val="20"/>
                <w:szCs w:val="20"/>
                <w:lang w:eastAsia="en-GB"/>
              </w:rPr>
            </w:pPr>
          </w:p>
          <w:p w14:paraId="31292A32" w14:textId="77777777" w:rsidR="00C259F1" w:rsidRPr="004A647C" w:rsidRDefault="00C259F1" w:rsidP="004019A8">
            <w:pPr>
              <w:spacing w:after="0" w:line="240" w:lineRule="auto"/>
              <w:rPr>
                <w:rFonts w:eastAsia="Times New Roman" w:cs="Arial"/>
                <w:color w:val="000000" w:themeColor="text1"/>
                <w:sz w:val="20"/>
                <w:szCs w:val="20"/>
                <w:lang w:eastAsia="en-GB"/>
              </w:rPr>
            </w:pPr>
            <w:r w:rsidRPr="004A647C">
              <w:rPr>
                <w:rFonts w:eastAsia="Times New Roman" w:cs="Arial"/>
                <w:color w:val="000000" w:themeColor="text1"/>
                <w:kern w:val="24"/>
                <w:sz w:val="20"/>
                <w:szCs w:val="20"/>
                <w:lang w:eastAsia="en-GB"/>
              </w:rPr>
              <w:t>Where an application is approved more than 4 weeks after the learning aim start date, the attendance confirmation must be provided within 2 weeks of the approval date.</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13448AA5" w14:textId="77777777" w:rsidR="00C259F1" w:rsidRPr="004A647C" w:rsidRDefault="00C259F1" w:rsidP="001A3925">
            <w:pPr>
              <w:spacing w:after="0" w:line="240" w:lineRule="auto"/>
              <w:jc w:val="center"/>
              <w:rPr>
                <w:rFonts w:eastAsia="Times New Roman" w:cs="Arial"/>
                <w:color w:val="000000" w:themeColor="text1"/>
                <w:kern w:val="24"/>
                <w:sz w:val="20"/>
                <w:szCs w:val="20"/>
                <w:lang w:eastAsia="en-GB"/>
              </w:rPr>
            </w:pPr>
          </w:p>
          <w:p w14:paraId="4787A48C" w14:textId="77777777" w:rsidR="00C259F1" w:rsidRPr="004A647C" w:rsidRDefault="00C259F1" w:rsidP="001A3925">
            <w:pPr>
              <w:spacing w:after="0" w:line="240" w:lineRule="auto"/>
              <w:jc w:val="center"/>
              <w:rPr>
                <w:rFonts w:eastAsia="Times New Roman" w:cs="Arial"/>
                <w:color w:val="000000" w:themeColor="text1"/>
                <w:kern w:val="24"/>
                <w:sz w:val="20"/>
                <w:szCs w:val="20"/>
                <w:lang w:eastAsia="en-GB"/>
              </w:rPr>
            </w:pPr>
          </w:p>
          <w:p w14:paraId="39C06913" w14:textId="77777777" w:rsidR="00C259F1" w:rsidRPr="004A647C" w:rsidRDefault="00C259F1" w:rsidP="001A3925">
            <w:pPr>
              <w:spacing w:after="0" w:line="240" w:lineRule="auto"/>
              <w:jc w:val="center"/>
              <w:rPr>
                <w:rFonts w:eastAsia="Times New Roman" w:cs="Arial"/>
                <w:color w:val="000000" w:themeColor="text1"/>
                <w:kern w:val="24"/>
                <w:sz w:val="20"/>
                <w:szCs w:val="20"/>
                <w:lang w:eastAsia="en-GB"/>
              </w:rPr>
            </w:pPr>
          </w:p>
          <w:p w14:paraId="258BCC0E" w14:textId="77777777" w:rsidR="00C259F1" w:rsidRPr="004A647C" w:rsidRDefault="00C259F1" w:rsidP="001A3925">
            <w:pPr>
              <w:spacing w:after="0" w:line="240" w:lineRule="auto"/>
              <w:jc w:val="center"/>
              <w:rPr>
                <w:rFonts w:eastAsia="Times New Roman" w:cs="Arial"/>
                <w:color w:val="000000" w:themeColor="text1"/>
                <w:kern w:val="24"/>
                <w:sz w:val="20"/>
                <w:szCs w:val="20"/>
                <w:lang w:eastAsia="en-GB"/>
              </w:rPr>
            </w:pPr>
          </w:p>
          <w:p w14:paraId="7F1FF9DE" w14:textId="3F91889E" w:rsidR="00C259F1" w:rsidRPr="004A647C" w:rsidRDefault="00530533" w:rsidP="001A3925">
            <w:pPr>
              <w:spacing w:after="0" w:line="240" w:lineRule="auto"/>
              <w:jc w:val="center"/>
              <w:rPr>
                <w:rFonts w:eastAsia="Times New Roman" w:cs="Arial"/>
                <w:color w:val="000000" w:themeColor="text1"/>
                <w:kern w:val="24"/>
                <w:sz w:val="20"/>
                <w:szCs w:val="20"/>
                <w:lang w:eastAsia="en-GB"/>
              </w:rPr>
            </w:pPr>
            <w:r>
              <w:rPr>
                <w:rFonts w:eastAsia="Times New Roman" w:cs="Arial"/>
                <w:color w:val="000000" w:themeColor="text1"/>
                <w:kern w:val="24"/>
                <w:sz w:val="20"/>
                <w:szCs w:val="20"/>
                <w:lang w:eastAsia="en-GB"/>
              </w:rPr>
              <w:t>99</w:t>
            </w:r>
            <w:r w:rsidR="00C259F1" w:rsidRPr="004A647C">
              <w:rPr>
                <w:rFonts w:eastAsia="Times New Roman" w:cs="Arial"/>
                <w:color w:val="000000" w:themeColor="text1"/>
                <w:kern w:val="24"/>
                <w:sz w:val="20"/>
                <w:szCs w:val="20"/>
                <w:lang w:eastAsia="en-GB"/>
              </w:rPr>
              <w:t>%</w:t>
            </w:r>
          </w:p>
        </w:tc>
      </w:tr>
      <w:tr w:rsidR="00C259F1" w:rsidRPr="00940AC3" w14:paraId="65520E86" w14:textId="77777777" w:rsidTr="004019A8">
        <w:trPr>
          <w:trHeight w:val="590"/>
        </w:trPr>
        <w:tc>
          <w:tcPr>
            <w:tcW w:w="1666" w:type="dxa"/>
            <w:tcBorders>
              <w:top w:val="single" w:sz="8" w:space="0" w:color="000000"/>
              <w:left w:val="single" w:sz="8" w:space="0" w:color="000000"/>
              <w:right w:val="single" w:sz="8" w:space="0" w:color="000000"/>
            </w:tcBorders>
            <w:shd w:val="clear" w:color="auto" w:fill="FFFFFF"/>
            <w:tcMar>
              <w:top w:w="72" w:type="dxa"/>
              <w:left w:w="144" w:type="dxa"/>
              <w:bottom w:w="72" w:type="dxa"/>
              <w:right w:w="144" w:type="dxa"/>
            </w:tcMar>
            <w:vAlign w:val="center"/>
            <w:hideMark/>
          </w:tcPr>
          <w:p w14:paraId="098E02C2" w14:textId="77777777" w:rsidR="00C259F1" w:rsidRPr="00940AC3" w:rsidRDefault="00C259F1" w:rsidP="004019A8">
            <w:pPr>
              <w:spacing w:after="0" w:line="240" w:lineRule="auto"/>
              <w:rPr>
                <w:rFonts w:eastAsia="Times New Roman" w:cs="Arial"/>
                <w:sz w:val="20"/>
                <w:szCs w:val="20"/>
                <w:lang w:eastAsia="en-GB"/>
              </w:rPr>
            </w:pPr>
            <w:r w:rsidRPr="00940AC3">
              <w:rPr>
                <w:rFonts w:eastAsia="Times New Roman" w:cs="Arial"/>
                <w:kern w:val="24"/>
                <w:sz w:val="20"/>
                <w:szCs w:val="20"/>
                <w:lang w:eastAsia="en-GB"/>
              </w:rPr>
              <w:t xml:space="preserve">Subsequent Attendance Confirmations </w:t>
            </w:r>
          </w:p>
        </w:tc>
        <w:tc>
          <w:tcPr>
            <w:tcW w:w="499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80C8520" w14:textId="77777777" w:rsidR="00C259F1" w:rsidRPr="00940AC3" w:rsidRDefault="00C259F1" w:rsidP="004019A8">
            <w:pPr>
              <w:pStyle w:val="ListParagraph"/>
              <w:numPr>
                <w:ilvl w:val="0"/>
                <w:numId w:val="10"/>
              </w:numPr>
              <w:spacing w:line="240" w:lineRule="auto"/>
              <w:rPr>
                <w:rFonts w:ascii="Calibri" w:hAnsi="Calibri" w:cs="Arial"/>
                <w:kern w:val="24"/>
                <w:sz w:val="20"/>
              </w:rPr>
            </w:pPr>
            <w:r w:rsidRPr="00940AC3">
              <w:rPr>
                <w:rFonts w:ascii="Calibri" w:hAnsi="Calibri" w:cs="Arial"/>
                <w:kern w:val="24"/>
                <w:sz w:val="20"/>
              </w:rPr>
              <w:t>85% of learner attendance confirmations to be provided by payment drawdown date.</w:t>
            </w:r>
          </w:p>
          <w:p w14:paraId="035BDC65" w14:textId="77777777" w:rsidR="00C259F1" w:rsidRPr="00940AC3" w:rsidRDefault="00C259F1" w:rsidP="004019A8">
            <w:pPr>
              <w:pStyle w:val="ListParagraph"/>
              <w:spacing w:line="240" w:lineRule="auto"/>
              <w:ind w:left="360"/>
              <w:rPr>
                <w:rFonts w:ascii="Calibri" w:hAnsi="Calibri" w:cs="Arial"/>
                <w:kern w:val="24"/>
                <w:sz w:val="20"/>
              </w:rPr>
            </w:pPr>
            <w:r w:rsidRPr="00940AC3">
              <w:rPr>
                <w:rFonts w:ascii="Calibri" w:hAnsi="Calibri" w:cs="Arial"/>
                <w:kern w:val="24"/>
                <w:sz w:val="20"/>
              </w:rPr>
              <w:t xml:space="preserve">        AND</w:t>
            </w:r>
          </w:p>
          <w:p w14:paraId="7622B1E8" w14:textId="77777777" w:rsidR="00C259F1" w:rsidRDefault="00C259F1" w:rsidP="004019A8">
            <w:pPr>
              <w:pStyle w:val="ListParagraph"/>
              <w:numPr>
                <w:ilvl w:val="0"/>
                <w:numId w:val="10"/>
              </w:numPr>
              <w:spacing w:line="240" w:lineRule="auto"/>
              <w:rPr>
                <w:rFonts w:ascii="Calibri" w:hAnsi="Calibri" w:cs="Arial"/>
                <w:kern w:val="24"/>
                <w:sz w:val="20"/>
              </w:rPr>
            </w:pPr>
            <w:r w:rsidRPr="00940AC3">
              <w:rPr>
                <w:rFonts w:ascii="Calibri" w:hAnsi="Calibri" w:cs="Arial"/>
                <w:kern w:val="24"/>
                <w:sz w:val="20"/>
              </w:rPr>
              <w:t>99% of learner attendance confirmations to be provided within 60 days of payment drawdown date.</w:t>
            </w:r>
          </w:p>
          <w:p w14:paraId="261A4BA7" w14:textId="77777777" w:rsidR="00C259F1" w:rsidRPr="00940AC3" w:rsidRDefault="00C259F1" w:rsidP="00C259F1">
            <w:pPr>
              <w:pStyle w:val="ListParagraph"/>
              <w:spacing w:line="240" w:lineRule="auto"/>
              <w:rPr>
                <w:rFonts w:ascii="Calibri" w:hAnsi="Calibri" w:cs="Arial"/>
                <w:kern w:val="24"/>
                <w:sz w:val="20"/>
              </w:rPr>
            </w:pPr>
          </w:p>
          <w:p w14:paraId="2C0FF95C" w14:textId="6A7F29D2" w:rsidR="00C259F1" w:rsidRPr="00940AC3" w:rsidRDefault="00C259F1" w:rsidP="00C259F1">
            <w:pPr>
              <w:spacing w:after="0" w:line="240" w:lineRule="auto"/>
              <w:rPr>
                <w:rFonts w:eastAsia="Times New Roman" w:cs="Arial"/>
                <w:kern w:val="24"/>
                <w:sz w:val="20"/>
                <w:szCs w:val="20"/>
                <w:lang w:eastAsia="en-GB"/>
              </w:rPr>
            </w:pPr>
            <w:r w:rsidRPr="001B2CAB">
              <w:rPr>
                <w:rFonts w:eastAsia="Times New Roman" w:cs="Arial"/>
                <w:kern w:val="24"/>
                <w:sz w:val="20"/>
                <w:szCs w:val="20"/>
                <w:lang w:eastAsia="en-GB"/>
              </w:rPr>
              <w:t>The payment drawdown date is the Thursday prior to the payment date (which is the 3rd Wednesday in the month).</w:t>
            </w:r>
          </w:p>
          <w:p w14:paraId="7BDDFD6F" w14:textId="77777777" w:rsidR="00C259F1" w:rsidRPr="00940AC3" w:rsidRDefault="00C259F1" w:rsidP="004019A8">
            <w:pPr>
              <w:spacing w:after="0" w:line="240" w:lineRule="auto"/>
              <w:rPr>
                <w:rFonts w:eastAsia="Times New Roman" w:cs="Arial"/>
                <w:sz w:val="20"/>
                <w:szCs w:val="20"/>
                <w:lang w:eastAsia="en-GB"/>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0E508250" w14:textId="77777777" w:rsidR="00C259F1" w:rsidRPr="00940AC3" w:rsidRDefault="00C259F1" w:rsidP="001A3925">
            <w:pPr>
              <w:pStyle w:val="ListParagraph"/>
              <w:spacing w:line="240" w:lineRule="auto"/>
              <w:jc w:val="center"/>
              <w:rPr>
                <w:rFonts w:ascii="Calibri" w:hAnsi="Calibri" w:cs="Arial"/>
                <w:kern w:val="24"/>
                <w:sz w:val="20"/>
              </w:rPr>
            </w:pPr>
          </w:p>
          <w:p w14:paraId="41A3FB9F" w14:textId="719ABA71" w:rsidR="00C259F1" w:rsidRPr="00940AC3" w:rsidRDefault="00C259F1" w:rsidP="001A3925">
            <w:pPr>
              <w:pStyle w:val="ListParagraph"/>
              <w:spacing w:line="240" w:lineRule="auto"/>
              <w:jc w:val="center"/>
              <w:rPr>
                <w:rFonts w:ascii="Calibri" w:hAnsi="Calibri" w:cs="Arial"/>
                <w:kern w:val="24"/>
                <w:sz w:val="20"/>
              </w:rPr>
            </w:pPr>
          </w:p>
          <w:p w14:paraId="4AF8E451" w14:textId="77777777" w:rsidR="00C259F1" w:rsidRPr="00940AC3" w:rsidRDefault="00C259F1" w:rsidP="001A3925">
            <w:pPr>
              <w:pStyle w:val="ListParagraph"/>
              <w:spacing w:line="240" w:lineRule="auto"/>
              <w:jc w:val="center"/>
              <w:rPr>
                <w:rFonts w:ascii="Calibri" w:hAnsi="Calibri" w:cs="Arial"/>
                <w:kern w:val="24"/>
                <w:sz w:val="20"/>
              </w:rPr>
            </w:pPr>
          </w:p>
          <w:p w14:paraId="55182BBE" w14:textId="77777777" w:rsidR="001A3925" w:rsidRDefault="001A3925" w:rsidP="001A3925">
            <w:pPr>
              <w:spacing w:line="240" w:lineRule="auto"/>
              <w:jc w:val="center"/>
              <w:rPr>
                <w:rFonts w:cs="Arial"/>
                <w:kern w:val="24"/>
                <w:sz w:val="20"/>
              </w:rPr>
            </w:pPr>
          </w:p>
          <w:p w14:paraId="495BE44C" w14:textId="524C52FA" w:rsidR="00C259F1" w:rsidRPr="001A3925" w:rsidRDefault="00C259F1" w:rsidP="001A3925">
            <w:pPr>
              <w:spacing w:line="240" w:lineRule="auto"/>
              <w:jc w:val="center"/>
              <w:rPr>
                <w:rFonts w:cs="Arial"/>
                <w:kern w:val="24"/>
                <w:sz w:val="20"/>
              </w:rPr>
            </w:pPr>
            <w:r w:rsidRPr="001A3925">
              <w:rPr>
                <w:rFonts w:cs="Arial"/>
                <w:kern w:val="24"/>
                <w:sz w:val="20"/>
              </w:rPr>
              <w:t>99%</w:t>
            </w:r>
          </w:p>
        </w:tc>
      </w:tr>
      <w:tr w:rsidR="00C259F1" w:rsidRPr="00940AC3" w14:paraId="1915A456" w14:textId="77777777" w:rsidTr="005441C1">
        <w:trPr>
          <w:trHeight w:val="590"/>
        </w:trPr>
        <w:tc>
          <w:tcPr>
            <w:tcW w:w="166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1E86D03F" w14:textId="588053B7" w:rsidR="00C259F1" w:rsidRPr="004A647C" w:rsidRDefault="00C259F1" w:rsidP="00C259F1">
            <w:pPr>
              <w:spacing w:after="0" w:line="240" w:lineRule="auto"/>
              <w:rPr>
                <w:rFonts w:asciiTheme="minorHAnsi" w:eastAsia="Times New Roman" w:hAnsiTheme="minorHAnsi" w:cstheme="minorHAnsi"/>
                <w:color w:val="000000" w:themeColor="text1"/>
                <w:kern w:val="24"/>
                <w:sz w:val="20"/>
                <w:szCs w:val="20"/>
                <w:lang w:eastAsia="en-GB"/>
              </w:rPr>
            </w:pPr>
            <w:r w:rsidRPr="004A647C">
              <w:rPr>
                <w:rFonts w:asciiTheme="minorHAnsi" w:eastAsia="Times New Roman" w:hAnsiTheme="minorHAnsi" w:cstheme="minorHAnsi"/>
                <w:color w:val="000000" w:themeColor="text1"/>
                <w:kern w:val="24"/>
                <w:sz w:val="20"/>
                <w:szCs w:val="20"/>
                <w:lang w:eastAsia="en-GB"/>
              </w:rPr>
              <w:t xml:space="preserve">Suspensions </w:t>
            </w:r>
          </w:p>
        </w:tc>
        <w:tc>
          <w:tcPr>
            <w:tcW w:w="499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B54ABA1" w14:textId="2D6F7EA9" w:rsidR="00EE351E" w:rsidRPr="004A647C" w:rsidRDefault="00EE351E" w:rsidP="00C259F1">
            <w:pPr>
              <w:pStyle w:val="ListParagraph"/>
              <w:numPr>
                <w:ilvl w:val="0"/>
                <w:numId w:val="12"/>
              </w:numPr>
              <w:spacing w:line="240" w:lineRule="auto"/>
              <w:rPr>
                <w:rFonts w:asciiTheme="minorHAnsi" w:hAnsiTheme="minorHAnsi" w:cstheme="minorHAnsi"/>
                <w:color w:val="000000" w:themeColor="text1"/>
                <w:kern w:val="24"/>
                <w:sz w:val="20"/>
              </w:rPr>
            </w:pPr>
            <w:r w:rsidRPr="004A647C">
              <w:rPr>
                <w:rFonts w:asciiTheme="minorHAnsi" w:hAnsiTheme="minorHAnsi" w:cstheme="minorHAnsi"/>
                <w:color w:val="000000" w:themeColor="text1"/>
                <w:kern w:val="24"/>
                <w:sz w:val="20"/>
              </w:rPr>
              <w:t>70</w:t>
            </w:r>
            <w:r w:rsidR="00C259F1" w:rsidRPr="004A647C">
              <w:rPr>
                <w:rFonts w:asciiTheme="minorHAnsi" w:hAnsiTheme="minorHAnsi" w:cstheme="minorHAnsi"/>
                <w:color w:val="000000" w:themeColor="text1"/>
                <w:kern w:val="24"/>
                <w:sz w:val="20"/>
              </w:rPr>
              <w:t xml:space="preserve">% </w:t>
            </w:r>
            <w:r w:rsidRPr="004A647C">
              <w:rPr>
                <w:rFonts w:asciiTheme="minorHAnsi" w:hAnsiTheme="minorHAnsi" w:cstheme="minorHAnsi"/>
                <w:color w:val="000000" w:themeColor="text1"/>
                <w:kern w:val="24"/>
                <w:sz w:val="20"/>
              </w:rPr>
              <w:t xml:space="preserve">of suspension CoCs </w:t>
            </w:r>
            <w:r w:rsidR="004260C0" w:rsidRPr="004A647C">
              <w:rPr>
                <w:rFonts w:asciiTheme="minorHAnsi" w:hAnsiTheme="minorHAnsi" w:cstheme="minorHAnsi"/>
                <w:color w:val="000000" w:themeColor="text1"/>
                <w:kern w:val="24"/>
                <w:sz w:val="20"/>
              </w:rPr>
              <w:t>submitted</w:t>
            </w:r>
            <w:r w:rsidRPr="004A647C">
              <w:rPr>
                <w:rFonts w:asciiTheme="minorHAnsi" w:hAnsiTheme="minorHAnsi" w:cstheme="minorHAnsi"/>
                <w:color w:val="000000" w:themeColor="text1"/>
                <w:kern w:val="24"/>
                <w:sz w:val="20"/>
              </w:rPr>
              <w:t xml:space="preserve"> within 60 days of effective date</w:t>
            </w:r>
            <w:r w:rsidR="00A856B8">
              <w:rPr>
                <w:rFonts w:asciiTheme="minorHAnsi" w:hAnsiTheme="minorHAnsi" w:cstheme="minorHAnsi"/>
                <w:color w:val="000000" w:themeColor="text1"/>
                <w:kern w:val="24"/>
                <w:sz w:val="20"/>
              </w:rPr>
              <w:t>.</w:t>
            </w:r>
          </w:p>
          <w:p w14:paraId="199F9A8B" w14:textId="77777777" w:rsidR="00C259F1" w:rsidRPr="004A647C" w:rsidRDefault="00C259F1" w:rsidP="00C259F1">
            <w:pPr>
              <w:pStyle w:val="ListParagraph"/>
              <w:spacing w:line="240" w:lineRule="auto"/>
              <w:rPr>
                <w:rFonts w:asciiTheme="minorHAnsi" w:hAnsiTheme="minorHAnsi" w:cstheme="minorHAnsi"/>
                <w:color w:val="000000" w:themeColor="text1"/>
                <w:kern w:val="24"/>
                <w:sz w:val="20"/>
              </w:rPr>
            </w:pPr>
            <w:r w:rsidRPr="004A647C">
              <w:rPr>
                <w:rFonts w:asciiTheme="minorHAnsi" w:hAnsiTheme="minorHAnsi" w:cstheme="minorHAnsi"/>
                <w:color w:val="000000" w:themeColor="text1"/>
                <w:kern w:val="24"/>
                <w:sz w:val="20"/>
              </w:rPr>
              <w:t>AND</w:t>
            </w:r>
          </w:p>
          <w:p w14:paraId="34EFB8DC" w14:textId="295AF4BC" w:rsidR="00C259F1" w:rsidRPr="004A647C" w:rsidRDefault="00C259F1" w:rsidP="00C259F1">
            <w:pPr>
              <w:pStyle w:val="ListParagraph"/>
              <w:numPr>
                <w:ilvl w:val="0"/>
                <w:numId w:val="12"/>
              </w:numPr>
              <w:spacing w:line="240" w:lineRule="auto"/>
              <w:rPr>
                <w:rFonts w:asciiTheme="minorHAnsi" w:hAnsiTheme="minorHAnsi" w:cstheme="minorHAnsi"/>
                <w:color w:val="000000" w:themeColor="text1"/>
                <w:kern w:val="24"/>
                <w:sz w:val="20"/>
              </w:rPr>
            </w:pPr>
            <w:r w:rsidRPr="004A647C">
              <w:rPr>
                <w:rFonts w:asciiTheme="minorHAnsi" w:hAnsiTheme="minorHAnsi" w:cstheme="minorHAnsi"/>
                <w:color w:val="000000" w:themeColor="text1"/>
                <w:kern w:val="24"/>
                <w:sz w:val="20"/>
              </w:rPr>
              <w:t>9</w:t>
            </w:r>
            <w:r w:rsidR="00EE351E" w:rsidRPr="004A647C">
              <w:rPr>
                <w:rFonts w:asciiTheme="minorHAnsi" w:hAnsiTheme="minorHAnsi" w:cstheme="minorHAnsi"/>
                <w:color w:val="000000" w:themeColor="text1"/>
                <w:kern w:val="24"/>
                <w:sz w:val="20"/>
              </w:rPr>
              <w:t>5</w:t>
            </w:r>
            <w:r w:rsidRPr="004A647C">
              <w:rPr>
                <w:rFonts w:asciiTheme="minorHAnsi" w:hAnsiTheme="minorHAnsi" w:cstheme="minorHAnsi"/>
                <w:color w:val="000000" w:themeColor="text1"/>
                <w:kern w:val="24"/>
                <w:sz w:val="20"/>
              </w:rPr>
              <w:t>% of suspension</w:t>
            </w:r>
            <w:r w:rsidR="0086387F" w:rsidRPr="004A647C">
              <w:rPr>
                <w:rFonts w:asciiTheme="minorHAnsi" w:hAnsiTheme="minorHAnsi" w:cstheme="minorHAnsi"/>
                <w:color w:val="000000" w:themeColor="text1"/>
                <w:kern w:val="24"/>
                <w:sz w:val="20"/>
              </w:rPr>
              <w:t xml:space="preserve"> CoC</w:t>
            </w:r>
            <w:r w:rsidR="00EE351E" w:rsidRPr="004A647C">
              <w:rPr>
                <w:rFonts w:asciiTheme="minorHAnsi" w:hAnsiTheme="minorHAnsi" w:cstheme="minorHAnsi"/>
                <w:color w:val="000000" w:themeColor="text1"/>
                <w:kern w:val="24"/>
                <w:sz w:val="20"/>
              </w:rPr>
              <w:t xml:space="preserve">s submitted within </w:t>
            </w:r>
            <w:r w:rsidR="007543F6" w:rsidRPr="004A647C">
              <w:rPr>
                <w:rFonts w:asciiTheme="minorHAnsi" w:hAnsiTheme="minorHAnsi" w:cstheme="minorHAnsi"/>
                <w:color w:val="000000" w:themeColor="text1"/>
                <w:kern w:val="24"/>
                <w:sz w:val="20"/>
              </w:rPr>
              <w:t>90</w:t>
            </w:r>
            <w:r w:rsidR="00EE351E" w:rsidRPr="004A647C">
              <w:rPr>
                <w:rFonts w:asciiTheme="minorHAnsi" w:hAnsiTheme="minorHAnsi" w:cstheme="minorHAnsi"/>
                <w:color w:val="000000" w:themeColor="text1"/>
                <w:kern w:val="24"/>
                <w:sz w:val="20"/>
              </w:rPr>
              <w:t xml:space="preserve"> days of the decision being made</w:t>
            </w:r>
            <w:r w:rsidR="00A856B8">
              <w:rPr>
                <w:rFonts w:asciiTheme="minorHAnsi" w:hAnsiTheme="minorHAnsi" w:cstheme="minorHAnsi"/>
                <w:color w:val="000000" w:themeColor="text1"/>
                <w:kern w:val="24"/>
                <w:sz w:val="20"/>
              </w:rPr>
              <w:t>.</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49A2B4AC" w14:textId="77777777" w:rsidR="00C259F1" w:rsidRPr="004A647C" w:rsidRDefault="00C259F1" w:rsidP="001A3925">
            <w:pPr>
              <w:pStyle w:val="ListParagraph"/>
              <w:spacing w:line="240" w:lineRule="auto"/>
              <w:jc w:val="center"/>
              <w:rPr>
                <w:rFonts w:asciiTheme="minorHAnsi" w:hAnsiTheme="minorHAnsi" w:cstheme="minorHAnsi"/>
                <w:color w:val="000000" w:themeColor="text1"/>
                <w:kern w:val="24"/>
                <w:sz w:val="20"/>
              </w:rPr>
            </w:pPr>
          </w:p>
          <w:p w14:paraId="01FA024E" w14:textId="77777777" w:rsidR="00C259F1" w:rsidRPr="004A647C" w:rsidRDefault="00C259F1" w:rsidP="001A3925">
            <w:pPr>
              <w:pStyle w:val="ListParagraph"/>
              <w:spacing w:line="240" w:lineRule="auto"/>
              <w:jc w:val="center"/>
              <w:rPr>
                <w:rFonts w:asciiTheme="minorHAnsi" w:hAnsiTheme="minorHAnsi" w:cstheme="minorHAnsi"/>
                <w:color w:val="000000" w:themeColor="text1"/>
                <w:kern w:val="24"/>
                <w:sz w:val="20"/>
              </w:rPr>
            </w:pPr>
          </w:p>
          <w:p w14:paraId="6B939DB2" w14:textId="29B2724E" w:rsidR="00C259F1" w:rsidRPr="004A647C" w:rsidRDefault="00C259F1" w:rsidP="001A3925">
            <w:pPr>
              <w:spacing w:line="240" w:lineRule="auto"/>
              <w:jc w:val="center"/>
              <w:rPr>
                <w:rFonts w:asciiTheme="minorHAnsi" w:hAnsiTheme="minorHAnsi" w:cstheme="minorHAnsi"/>
                <w:color w:val="000000" w:themeColor="text1"/>
                <w:kern w:val="24"/>
                <w:sz w:val="20"/>
              </w:rPr>
            </w:pPr>
            <w:r w:rsidRPr="004A647C">
              <w:rPr>
                <w:rFonts w:asciiTheme="minorHAnsi" w:hAnsiTheme="minorHAnsi" w:cstheme="minorHAnsi"/>
                <w:color w:val="000000" w:themeColor="text1"/>
                <w:kern w:val="24"/>
                <w:sz w:val="20"/>
              </w:rPr>
              <w:t>9</w:t>
            </w:r>
            <w:r w:rsidR="00EE351E" w:rsidRPr="004A647C">
              <w:rPr>
                <w:rFonts w:asciiTheme="minorHAnsi" w:hAnsiTheme="minorHAnsi" w:cstheme="minorHAnsi"/>
                <w:color w:val="000000" w:themeColor="text1"/>
                <w:kern w:val="24"/>
                <w:sz w:val="20"/>
              </w:rPr>
              <w:t>5</w:t>
            </w:r>
            <w:r w:rsidRPr="004A647C">
              <w:rPr>
                <w:rFonts w:asciiTheme="minorHAnsi" w:hAnsiTheme="minorHAnsi" w:cstheme="minorHAnsi"/>
                <w:color w:val="000000" w:themeColor="text1"/>
                <w:kern w:val="24"/>
                <w:sz w:val="20"/>
              </w:rPr>
              <w:t>%</w:t>
            </w:r>
          </w:p>
        </w:tc>
      </w:tr>
      <w:tr w:rsidR="00C259F1" w:rsidRPr="00940AC3" w14:paraId="33D87AE0" w14:textId="77777777" w:rsidTr="00C83DAF">
        <w:trPr>
          <w:trHeight w:val="590"/>
        </w:trPr>
        <w:tc>
          <w:tcPr>
            <w:tcW w:w="166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8041F7F" w14:textId="77777777" w:rsidR="00C259F1" w:rsidRPr="004A647C" w:rsidRDefault="00C259F1" w:rsidP="00C259F1">
            <w:pPr>
              <w:spacing w:after="0" w:line="240" w:lineRule="auto"/>
              <w:rPr>
                <w:rFonts w:asciiTheme="minorHAnsi" w:eastAsia="Times New Roman" w:hAnsiTheme="minorHAnsi" w:cstheme="minorHAnsi"/>
                <w:color w:val="000000" w:themeColor="text1"/>
                <w:sz w:val="20"/>
                <w:szCs w:val="20"/>
                <w:lang w:eastAsia="en-GB"/>
              </w:rPr>
            </w:pPr>
            <w:r w:rsidRPr="004A647C">
              <w:rPr>
                <w:rFonts w:asciiTheme="minorHAnsi" w:eastAsia="Times New Roman" w:hAnsiTheme="minorHAnsi" w:cstheme="minorHAnsi"/>
                <w:color w:val="000000" w:themeColor="text1"/>
                <w:kern w:val="24"/>
                <w:sz w:val="20"/>
                <w:szCs w:val="20"/>
                <w:lang w:eastAsia="en-GB"/>
              </w:rPr>
              <w:t xml:space="preserve">Withdrawals </w:t>
            </w:r>
          </w:p>
        </w:tc>
        <w:tc>
          <w:tcPr>
            <w:tcW w:w="499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139056E" w14:textId="371518CC" w:rsidR="00C259F1" w:rsidRPr="004A647C" w:rsidRDefault="00EE351E" w:rsidP="00C259F1">
            <w:pPr>
              <w:pStyle w:val="ListParagraph"/>
              <w:numPr>
                <w:ilvl w:val="0"/>
                <w:numId w:val="23"/>
              </w:numPr>
              <w:spacing w:line="240" w:lineRule="auto"/>
              <w:rPr>
                <w:rFonts w:asciiTheme="minorHAnsi" w:hAnsiTheme="minorHAnsi" w:cstheme="minorHAnsi"/>
                <w:color w:val="000000" w:themeColor="text1"/>
                <w:kern w:val="24"/>
                <w:sz w:val="20"/>
              </w:rPr>
            </w:pPr>
            <w:r w:rsidRPr="004A647C">
              <w:rPr>
                <w:rFonts w:asciiTheme="minorHAnsi" w:hAnsiTheme="minorHAnsi" w:cstheme="minorHAnsi"/>
                <w:color w:val="000000" w:themeColor="text1"/>
                <w:kern w:val="24"/>
                <w:sz w:val="20"/>
              </w:rPr>
              <w:t>70</w:t>
            </w:r>
            <w:r w:rsidR="00C259F1" w:rsidRPr="004A647C">
              <w:rPr>
                <w:rFonts w:asciiTheme="minorHAnsi" w:hAnsiTheme="minorHAnsi" w:cstheme="minorHAnsi"/>
                <w:color w:val="000000" w:themeColor="text1"/>
                <w:kern w:val="24"/>
                <w:sz w:val="20"/>
              </w:rPr>
              <w:t xml:space="preserve">% of withdrawal COCs submitted within 60 days of </w:t>
            </w:r>
            <w:r w:rsidR="0086387F" w:rsidRPr="004A647C">
              <w:rPr>
                <w:rFonts w:asciiTheme="minorHAnsi" w:hAnsiTheme="minorHAnsi" w:cstheme="minorHAnsi"/>
                <w:color w:val="000000" w:themeColor="text1"/>
                <w:kern w:val="24"/>
                <w:sz w:val="20"/>
              </w:rPr>
              <w:t>effective date</w:t>
            </w:r>
            <w:r w:rsidR="00A856B8">
              <w:rPr>
                <w:rFonts w:asciiTheme="minorHAnsi" w:hAnsiTheme="minorHAnsi" w:cstheme="minorHAnsi"/>
                <w:color w:val="000000" w:themeColor="text1"/>
                <w:kern w:val="24"/>
                <w:sz w:val="20"/>
              </w:rPr>
              <w:t>.</w:t>
            </w:r>
          </w:p>
          <w:p w14:paraId="339232F0" w14:textId="77777777" w:rsidR="00C259F1" w:rsidRPr="004A647C" w:rsidRDefault="00C259F1" w:rsidP="00C259F1">
            <w:pPr>
              <w:pStyle w:val="ListParagraph"/>
              <w:spacing w:line="240" w:lineRule="auto"/>
              <w:rPr>
                <w:rFonts w:asciiTheme="minorHAnsi" w:hAnsiTheme="minorHAnsi" w:cstheme="minorHAnsi"/>
                <w:color w:val="000000" w:themeColor="text1"/>
                <w:kern w:val="24"/>
                <w:sz w:val="20"/>
              </w:rPr>
            </w:pPr>
            <w:r w:rsidRPr="004A647C">
              <w:rPr>
                <w:rFonts w:asciiTheme="minorHAnsi" w:hAnsiTheme="minorHAnsi" w:cstheme="minorHAnsi"/>
                <w:color w:val="000000" w:themeColor="text1"/>
                <w:kern w:val="24"/>
                <w:sz w:val="20"/>
              </w:rPr>
              <w:t>AND</w:t>
            </w:r>
          </w:p>
          <w:p w14:paraId="0AB90346" w14:textId="3F651FD4" w:rsidR="00C259F1" w:rsidRPr="004A647C" w:rsidRDefault="00C259F1" w:rsidP="00C259F1">
            <w:pPr>
              <w:pStyle w:val="ListParagraph"/>
              <w:numPr>
                <w:ilvl w:val="0"/>
                <w:numId w:val="23"/>
              </w:numPr>
              <w:spacing w:line="240" w:lineRule="auto"/>
              <w:rPr>
                <w:rFonts w:asciiTheme="minorHAnsi" w:hAnsiTheme="minorHAnsi" w:cstheme="minorHAnsi"/>
                <w:color w:val="000000" w:themeColor="text1"/>
                <w:kern w:val="24"/>
                <w:sz w:val="20"/>
              </w:rPr>
            </w:pPr>
            <w:r w:rsidRPr="004A647C">
              <w:rPr>
                <w:rFonts w:asciiTheme="minorHAnsi" w:hAnsiTheme="minorHAnsi" w:cstheme="minorHAnsi"/>
                <w:color w:val="000000" w:themeColor="text1"/>
                <w:kern w:val="24"/>
                <w:sz w:val="20"/>
              </w:rPr>
              <w:t>9</w:t>
            </w:r>
            <w:r w:rsidR="00EE351E" w:rsidRPr="004A647C">
              <w:rPr>
                <w:rFonts w:asciiTheme="minorHAnsi" w:hAnsiTheme="minorHAnsi" w:cstheme="minorHAnsi"/>
                <w:color w:val="000000" w:themeColor="text1"/>
                <w:kern w:val="24"/>
                <w:sz w:val="20"/>
              </w:rPr>
              <w:t>5</w:t>
            </w:r>
            <w:r w:rsidRPr="004A647C">
              <w:rPr>
                <w:rFonts w:asciiTheme="minorHAnsi" w:hAnsiTheme="minorHAnsi" w:cstheme="minorHAnsi"/>
                <w:color w:val="000000" w:themeColor="text1"/>
                <w:kern w:val="24"/>
                <w:sz w:val="20"/>
              </w:rPr>
              <w:t xml:space="preserve">% of withdrawal COCs submitted within </w:t>
            </w:r>
            <w:r w:rsidR="007543F6" w:rsidRPr="004A647C">
              <w:rPr>
                <w:rFonts w:asciiTheme="minorHAnsi" w:hAnsiTheme="minorHAnsi" w:cstheme="minorHAnsi"/>
                <w:color w:val="000000" w:themeColor="text1"/>
                <w:kern w:val="24"/>
                <w:sz w:val="20"/>
              </w:rPr>
              <w:t>90</w:t>
            </w:r>
            <w:r w:rsidRPr="004A647C">
              <w:rPr>
                <w:rFonts w:asciiTheme="minorHAnsi" w:hAnsiTheme="minorHAnsi" w:cstheme="minorHAnsi"/>
                <w:color w:val="000000" w:themeColor="text1"/>
                <w:kern w:val="24"/>
                <w:sz w:val="20"/>
              </w:rPr>
              <w:t xml:space="preserve"> days of </w:t>
            </w:r>
            <w:r w:rsidR="0086387F" w:rsidRPr="004A647C">
              <w:rPr>
                <w:rFonts w:asciiTheme="minorHAnsi" w:hAnsiTheme="minorHAnsi" w:cstheme="minorHAnsi"/>
                <w:color w:val="000000" w:themeColor="text1"/>
                <w:kern w:val="24"/>
                <w:sz w:val="20"/>
              </w:rPr>
              <w:t>the decision being made</w:t>
            </w:r>
            <w:r w:rsidR="00A856B8">
              <w:rPr>
                <w:rFonts w:asciiTheme="minorHAnsi" w:hAnsiTheme="minorHAnsi" w:cstheme="minorHAnsi"/>
                <w:color w:val="000000" w:themeColor="text1"/>
                <w:kern w:val="24"/>
                <w:sz w:val="20"/>
              </w:rPr>
              <w:t>.</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76BF3EFC" w14:textId="77777777" w:rsidR="00C259F1" w:rsidRPr="004A647C" w:rsidRDefault="00C259F1" w:rsidP="001A3925">
            <w:pPr>
              <w:pStyle w:val="ListParagraph"/>
              <w:spacing w:line="240" w:lineRule="auto"/>
              <w:jc w:val="center"/>
              <w:rPr>
                <w:rFonts w:asciiTheme="minorHAnsi" w:hAnsiTheme="minorHAnsi" w:cstheme="minorHAnsi"/>
                <w:color w:val="000000" w:themeColor="text1"/>
                <w:kern w:val="24"/>
                <w:sz w:val="20"/>
              </w:rPr>
            </w:pPr>
          </w:p>
          <w:p w14:paraId="21E05058" w14:textId="77777777" w:rsidR="00C259F1" w:rsidRPr="004A647C" w:rsidRDefault="00C259F1" w:rsidP="001A3925">
            <w:pPr>
              <w:pStyle w:val="ListParagraph"/>
              <w:spacing w:line="240" w:lineRule="auto"/>
              <w:jc w:val="center"/>
              <w:rPr>
                <w:rFonts w:asciiTheme="minorHAnsi" w:hAnsiTheme="minorHAnsi" w:cstheme="minorHAnsi"/>
                <w:color w:val="000000" w:themeColor="text1"/>
                <w:kern w:val="24"/>
                <w:sz w:val="20"/>
              </w:rPr>
            </w:pPr>
          </w:p>
          <w:p w14:paraId="3577111E" w14:textId="1E217228" w:rsidR="00C259F1" w:rsidRPr="004A647C" w:rsidRDefault="00C259F1" w:rsidP="001A3925">
            <w:pPr>
              <w:spacing w:line="240" w:lineRule="auto"/>
              <w:jc w:val="center"/>
              <w:rPr>
                <w:rFonts w:asciiTheme="minorHAnsi" w:hAnsiTheme="minorHAnsi" w:cstheme="minorHAnsi"/>
                <w:color w:val="000000" w:themeColor="text1"/>
                <w:kern w:val="24"/>
                <w:sz w:val="20"/>
              </w:rPr>
            </w:pPr>
            <w:r w:rsidRPr="004A647C">
              <w:rPr>
                <w:rFonts w:asciiTheme="minorHAnsi" w:hAnsiTheme="minorHAnsi" w:cstheme="minorHAnsi"/>
                <w:color w:val="000000" w:themeColor="text1"/>
                <w:kern w:val="24"/>
                <w:sz w:val="20"/>
              </w:rPr>
              <w:t>9</w:t>
            </w:r>
            <w:r w:rsidR="00EE351E" w:rsidRPr="004A647C">
              <w:rPr>
                <w:rFonts w:asciiTheme="minorHAnsi" w:hAnsiTheme="minorHAnsi" w:cstheme="minorHAnsi"/>
                <w:color w:val="000000" w:themeColor="text1"/>
                <w:kern w:val="24"/>
                <w:sz w:val="20"/>
              </w:rPr>
              <w:t>5</w:t>
            </w:r>
            <w:r w:rsidRPr="004A647C">
              <w:rPr>
                <w:rFonts w:asciiTheme="minorHAnsi" w:hAnsiTheme="minorHAnsi" w:cstheme="minorHAnsi"/>
                <w:color w:val="000000" w:themeColor="text1"/>
                <w:kern w:val="24"/>
                <w:sz w:val="20"/>
              </w:rPr>
              <w:t>%</w:t>
            </w:r>
          </w:p>
        </w:tc>
      </w:tr>
    </w:tbl>
    <w:p w14:paraId="3F0314E2" w14:textId="77777777" w:rsidR="00C259F1" w:rsidRDefault="00C259F1" w:rsidP="005C601D"/>
    <w:p w14:paraId="7412F3D0" w14:textId="77777777" w:rsidR="009D617C" w:rsidRDefault="009D617C" w:rsidP="005C601D"/>
    <w:p w14:paraId="17314AD4" w14:textId="77777777" w:rsidR="00C259F1" w:rsidRDefault="00C259F1" w:rsidP="005C601D"/>
    <w:p w14:paraId="0080FC3D" w14:textId="77777777" w:rsidR="005C601D" w:rsidRDefault="005C601D" w:rsidP="005C601D">
      <w:r>
        <w:lastRenderedPageBreak/>
        <w:t>1</w:t>
      </w:r>
      <w:r w:rsidR="00AB7FF6">
        <w:t>1</w:t>
      </w:r>
      <w:r>
        <w:t>.2</w:t>
      </w:r>
      <w:r>
        <w:tab/>
        <w:t>Service Standards apply to SLC</w:t>
      </w:r>
    </w:p>
    <w:tbl>
      <w:tblPr>
        <w:tblW w:w="9278" w:type="dxa"/>
        <w:tblCellMar>
          <w:left w:w="0" w:type="dxa"/>
          <w:right w:w="0" w:type="dxa"/>
        </w:tblCellMar>
        <w:tblLook w:val="04A0" w:firstRow="1" w:lastRow="0" w:firstColumn="1" w:lastColumn="0" w:noHBand="0" w:noVBand="1"/>
      </w:tblPr>
      <w:tblGrid>
        <w:gridCol w:w="2684"/>
        <w:gridCol w:w="3776"/>
        <w:gridCol w:w="2818"/>
      </w:tblGrid>
      <w:tr w:rsidR="00DE618A" w:rsidRPr="00DD50BC" w14:paraId="673466C5" w14:textId="77777777" w:rsidTr="007A2B83">
        <w:trPr>
          <w:trHeight w:val="632"/>
        </w:trPr>
        <w:tc>
          <w:tcPr>
            <w:tcW w:w="268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F5959AB" w14:textId="522DA6D6" w:rsidR="00DE618A" w:rsidRPr="007744AB" w:rsidRDefault="00DE618A" w:rsidP="004B23D7">
            <w:pPr>
              <w:spacing w:after="0" w:line="240" w:lineRule="auto"/>
            </w:pPr>
            <w:r w:rsidRPr="007744AB">
              <w:rPr>
                <w:b/>
                <w:bCs/>
              </w:rPr>
              <w:t xml:space="preserve">Service / Process </w:t>
            </w:r>
          </w:p>
        </w:tc>
        <w:tc>
          <w:tcPr>
            <w:tcW w:w="37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1D1E716" w14:textId="4067512C" w:rsidR="00DE618A" w:rsidRPr="007744AB" w:rsidRDefault="00DE618A" w:rsidP="004B23D7">
            <w:pPr>
              <w:spacing w:after="0" w:line="240" w:lineRule="auto"/>
            </w:pPr>
            <w:r w:rsidRPr="007744AB">
              <w:rPr>
                <w:b/>
                <w:bCs/>
              </w:rPr>
              <w:t>Elapse Time to Complete</w:t>
            </w:r>
          </w:p>
        </w:tc>
        <w:tc>
          <w:tcPr>
            <w:tcW w:w="2818" w:type="dxa"/>
            <w:tcBorders>
              <w:top w:val="single" w:sz="8" w:space="0" w:color="000000"/>
              <w:left w:val="single" w:sz="8" w:space="0" w:color="000000"/>
              <w:bottom w:val="single" w:sz="8" w:space="0" w:color="000000"/>
              <w:right w:val="single" w:sz="8" w:space="0" w:color="000000"/>
            </w:tcBorders>
            <w:shd w:val="clear" w:color="auto" w:fill="FFFFFF"/>
          </w:tcPr>
          <w:p w14:paraId="641E94E2" w14:textId="7F8AA746" w:rsidR="00DE618A" w:rsidRPr="007744AB" w:rsidRDefault="007A2B83" w:rsidP="004B23D7">
            <w:pPr>
              <w:spacing w:after="0" w:line="240" w:lineRule="auto"/>
              <w:rPr>
                <w:b/>
                <w:bCs/>
              </w:rPr>
            </w:pPr>
            <w:r>
              <w:rPr>
                <w:b/>
                <w:bCs/>
              </w:rPr>
              <w:t xml:space="preserve"> </w:t>
            </w:r>
            <w:r w:rsidR="00DE618A" w:rsidRPr="007744AB">
              <w:rPr>
                <w:b/>
                <w:bCs/>
              </w:rPr>
              <w:t>Accuracy</w:t>
            </w:r>
          </w:p>
        </w:tc>
      </w:tr>
      <w:tr w:rsidR="00DE618A" w:rsidRPr="00DD50BC" w14:paraId="5BE2F2E8" w14:textId="77777777" w:rsidTr="007A2B83">
        <w:trPr>
          <w:trHeight w:val="632"/>
        </w:trPr>
        <w:tc>
          <w:tcPr>
            <w:tcW w:w="268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05774E6" w14:textId="77777777" w:rsidR="00DE618A" w:rsidRPr="009D3402" w:rsidRDefault="00DE618A" w:rsidP="004B23D7">
            <w:pPr>
              <w:spacing w:after="0" w:line="240" w:lineRule="auto"/>
              <w:rPr>
                <w:rFonts w:eastAsia="Times New Roman" w:cs="Arial"/>
                <w:lang w:eastAsia="en-GB"/>
              </w:rPr>
            </w:pPr>
            <w:r w:rsidRPr="009D3402">
              <w:rPr>
                <w:rFonts w:eastAsia="Times New Roman" w:cs="Arial"/>
                <w:kern w:val="24"/>
                <w:lang w:eastAsia="en-GB"/>
              </w:rPr>
              <w:t xml:space="preserve">Provision of Applicant Data </w:t>
            </w:r>
          </w:p>
        </w:tc>
        <w:tc>
          <w:tcPr>
            <w:tcW w:w="37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62C7386" w14:textId="1B317A74" w:rsidR="00DE618A" w:rsidRPr="009D3402" w:rsidRDefault="00DE618A" w:rsidP="004B23D7">
            <w:pPr>
              <w:spacing w:after="0" w:line="240" w:lineRule="auto"/>
              <w:rPr>
                <w:rFonts w:eastAsia="Times New Roman" w:cs="Arial"/>
                <w:lang w:eastAsia="en-GB"/>
              </w:rPr>
            </w:pPr>
            <w:r w:rsidRPr="009D3402">
              <w:rPr>
                <w:rFonts w:eastAsia="Times New Roman" w:cs="Arial"/>
                <w:kern w:val="24"/>
                <w:lang w:eastAsia="en-GB"/>
              </w:rPr>
              <w:t>99% of submitted applicant’s details posted to AIS within 24 hrs.</w:t>
            </w:r>
          </w:p>
        </w:tc>
        <w:tc>
          <w:tcPr>
            <w:tcW w:w="2818" w:type="dxa"/>
            <w:tcBorders>
              <w:top w:val="single" w:sz="8" w:space="0" w:color="000000"/>
              <w:left w:val="single" w:sz="8" w:space="0" w:color="000000"/>
              <w:bottom w:val="single" w:sz="8" w:space="0" w:color="000000"/>
              <w:right w:val="single" w:sz="8" w:space="0" w:color="000000"/>
            </w:tcBorders>
            <w:shd w:val="clear" w:color="auto" w:fill="FFFFFF"/>
          </w:tcPr>
          <w:p w14:paraId="07208CA3" w14:textId="66F98256" w:rsidR="00DE618A" w:rsidRPr="009D3402" w:rsidRDefault="00DE618A" w:rsidP="00D82989">
            <w:pPr>
              <w:spacing w:after="0" w:line="240" w:lineRule="auto"/>
              <w:rPr>
                <w:rFonts w:eastAsia="Times New Roman" w:cs="Arial"/>
                <w:kern w:val="24"/>
                <w:lang w:eastAsia="en-GB"/>
              </w:rPr>
            </w:pPr>
            <w:r w:rsidRPr="009D3402">
              <w:rPr>
                <w:rFonts w:eastAsia="Times New Roman" w:cs="Arial"/>
                <w:kern w:val="24"/>
                <w:lang w:eastAsia="en-GB"/>
              </w:rPr>
              <w:t>100% accuracy of data passed to AIS</w:t>
            </w:r>
          </w:p>
        </w:tc>
      </w:tr>
      <w:tr w:rsidR="00DE618A" w:rsidRPr="00DD50BC" w14:paraId="0D186000" w14:textId="77777777" w:rsidTr="007A2B83">
        <w:trPr>
          <w:trHeight w:val="632"/>
        </w:trPr>
        <w:tc>
          <w:tcPr>
            <w:tcW w:w="268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C8D9981" w14:textId="77777777" w:rsidR="00DE618A" w:rsidRPr="009D3402" w:rsidRDefault="00DE618A" w:rsidP="004B23D7">
            <w:pPr>
              <w:spacing w:after="0" w:line="240" w:lineRule="auto"/>
              <w:rPr>
                <w:rFonts w:eastAsia="Times New Roman" w:cs="Arial"/>
                <w:lang w:eastAsia="en-GB"/>
              </w:rPr>
            </w:pPr>
            <w:r w:rsidRPr="009D3402">
              <w:rPr>
                <w:rFonts w:eastAsia="Times New Roman" w:cs="Arial"/>
                <w:kern w:val="24"/>
                <w:lang w:eastAsia="en-GB"/>
              </w:rPr>
              <w:t>Reassessments by SLC</w:t>
            </w:r>
          </w:p>
        </w:tc>
        <w:tc>
          <w:tcPr>
            <w:tcW w:w="37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8365143" w14:textId="77777777" w:rsidR="00DE618A" w:rsidRPr="009D3402" w:rsidRDefault="00DE618A" w:rsidP="00DE618A">
            <w:pPr>
              <w:spacing w:after="0" w:line="240" w:lineRule="auto"/>
              <w:rPr>
                <w:rFonts w:eastAsia="Times New Roman" w:cs="Arial"/>
                <w:kern w:val="24"/>
                <w:lang w:eastAsia="en-GB"/>
              </w:rPr>
            </w:pPr>
            <w:r w:rsidRPr="009D3402">
              <w:rPr>
                <w:rFonts w:eastAsia="Times New Roman" w:cs="Arial"/>
                <w:kern w:val="24"/>
                <w:lang w:eastAsia="en-GB"/>
              </w:rPr>
              <w:t xml:space="preserve">95% within 5 working days. </w:t>
            </w:r>
          </w:p>
          <w:p w14:paraId="4F46C0EE" w14:textId="664B0CC8" w:rsidR="00DE618A" w:rsidRPr="009D3402" w:rsidRDefault="00DE618A" w:rsidP="00D82989">
            <w:pPr>
              <w:spacing w:after="0" w:line="240" w:lineRule="auto"/>
              <w:rPr>
                <w:rFonts w:eastAsia="Times New Roman" w:cs="Arial"/>
                <w:lang w:eastAsia="en-GB"/>
              </w:rPr>
            </w:pPr>
          </w:p>
        </w:tc>
        <w:tc>
          <w:tcPr>
            <w:tcW w:w="2818" w:type="dxa"/>
            <w:tcBorders>
              <w:top w:val="single" w:sz="8" w:space="0" w:color="000000"/>
              <w:left w:val="single" w:sz="8" w:space="0" w:color="000000"/>
              <w:bottom w:val="single" w:sz="8" w:space="0" w:color="000000"/>
              <w:right w:val="single" w:sz="8" w:space="0" w:color="000000"/>
            </w:tcBorders>
            <w:shd w:val="clear" w:color="auto" w:fill="FFFFFF"/>
          </w:tcPr>
          <w:p w14:paraId="107B8AE3" w14:textId="05DA8650" w:rsidR="00DE618A" w:rsidRPr="009D3402" w:rsidRDefault="00DE618A" w:rsidP="001A3CEF">
            <w:pPr>
              <w:spacing w:after="0" w:line="240" w:lineRule="auto"/>
              <w:rPr>
                <w:rFonts w:eastAsia="Times New Roman" w:cs="Arial"/>
                <w:kern w:val="24"/>
                <w:lang w:eastAsia="en-GB"/>
              </w:rPr>
            </w:pPr>
            <w:r w:rsidRPr="009D3402">
              <w:rPr>
                <w:rFonts w:eastAsia="Times New Roman" w:cs="Arial"/>
                <w:kern w:val="24"/>
                <w:lang w:eastAsia="en-GB"/>
              </w:rPr>
              <w:t>99.5% accuracy of automatic reassessments</w:t>
            </w:r>
          </w:p>
        </w:tc>
      </w:tr>
      <w:tr w:rsidR="00DE618A" w:rsidRPr="00DD50BC" w14:paraId="5570E241" w14:textId="77777777" w:rsidTr="007A2B83">
        <w:trPr>
          <w:trHeight w:val="632"/>
        </w:trPr>
        <w:tc>
          <w:tcPr>
            <w:tcW w:w="268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B27A741" w14:textId="77777777" w:rsidR="00DE618A" w:rsidRPr="009D3402" w:rsidRDefault="00DE618A" w:rsidP="00DE618A">
            <w:pPr>
              <w:spacing w:after="0" w:line="240" w:lineRule="auto"/>
              <w:rPr>
                <w:rFonts w:eastAsia="Times New Roman" w:cs="Arial"/>
                <w:lang w:eastAsia="en-GB"/>
              </w:rPr>
            </w:pPr>
            <w:r w:rsidRPr="009D3402">
              <w:rPr>
                <w:rFonts w:eastAsia="Times New Roman" w:cs="Arial"/>
                <w:kern w:val="24"/>
                <w:lang w:eastAsia="en-GB"/>
              </w:rPr>
              <w:t xml:space="preserve">Fee Payments from SLC </w:t>
            </w:r>
          </w:p>
        </w:tc>
        <w:tc>
          <w:tcPr>
            <w:tcW w:w="37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B485EDA" w14:textId="7C2BB898" w:rsidR="00DE618A" w:rsidRPr="009D3402" w:rsidRDefault="00DE618A" w:rsidP="00DE618A">
            <w:pPr>
              <w:spacing w:after="0" w:line="240" w:lineRule="auto"/>
              <w:rPr>
                <w:rFonts w:eastAsia="Times New Roman" w:cs="Arial"/>
                <w:lang w:eastAsia="en-GB"/>
              </w:rPr>
            </w:pPr>
            <w:r w:rsidRPr="009D3402">
              <w:rPr>
                <w:rFonts w:eastAsia="Times New Roman" w:cs="Arial"/>
                <w:kern w:val="24"/>
                <w:lang w:eastAsia="en-GB"/>
              </w:rPr>
              <w:t>99% of due payments are made by payment date.</w:t>
            </w:r>
          </w:p>
        </w:tc>
        <w:tc>
          <w:tcPr>
            <w:tcW w:w="2818" w:type="dxa"/>
            <w:tcBorders>
              <w:top w:val="single" w:sz="8" w:space="0" w:color="000000"/>
              <w:left w:val="single" w:sz="8" w:space="0" w:color="000000"/>
              <w:bottom w:val="single" w:sz="8" w:space="0" w:color="000000"/>
              <w:right w:val="single" w:sz="8" w:space="0" w:color="000000"/>
            </w:tcBorders>
            <w:shd w:val="clear" w:color="auto" w:fill="FFFFFF"/>
          </w:tcPr>
          <w:p w14:paraId="070F3A66" w14:textId="3038157F" w:rsidR="00DE618A" w:rsidRPr="009D3402" w:rsidRDefault="00DE618A" w:rsidP="00DE618A">
            <w:pPr>
              <w:spacing w:after="0" w:line="240" w:lineRule="auto"/>
              <w:rPr>
                <w:rFonts w:eastAsia="Times New Roman" w:cs="Arial"/>
                <w:kern w:val="24"/>
                <w:lang w:eastAsia="en-GB"/>
              </w:rPr>
            </w:pPr>
            <w:r w:rsidRPr="009D3402">
              <w:rPr>
                <w:rFonts w:eastAsia="Times New Roman" w:cs="Arial"/>
                <w:kern w:val="24"/>
                <w:lang w:eastAsia="en-GB"/>
              </w:rPr>
              <w:t xml:space="preserve">99.5% calculated fee payments due are made </w:t>
            </w:r>
          </w:p>
        </w:tc>
      </w:tr>
      <w:tr w:rsidR="00DE618A" w:rsidRPr="00DD50BC" w14:paraId="67BDEF16" w14:textId="77777777" w:rsidTr="007A2B83">
        <w:trPr>
          <w:trHeight w:val="632"/>
        </w:trPr>
        <w:tc>
          <w:tcPr>
            <w:tcW w:w="268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6A4B87E" w14:textId="77777777" w:rsidR="00DE618A" w:rsidRPr="00A56843" w:rsidRDefault="00DE618A" w:rsidP="00DE618A">
            <w:pPr>
              <w:spacing w:after="0" w:line="240" w:lineRule="auto"/>
              <w:rPr>
                <w:rFonts w:eastAsia="Times New Roman" w:cs="Arial"/>
                <w:lang w:eastAsia="en-GB"/>
              </w:rPr>
            </w:pPr>
            <w:r w:rsidRPr="00A56843">
              <w:rPr>
                <w:rFonts w:eastAsia="Times New Roman" w:cs="Arial"/>
                <w:kern w:val="24"/>
                <w:lang w:eastAsia="en-GB"/>
              </w:rPr>
              <w:t xml:space="preserve">LP Enquiries to SLC Partners Support Desk </w:t>
            </w:r>
          </w:p>
        </w:tc>
        <w:tc>
          <w:tcPr>
            <w:tcW w:w="37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97F570D" w14:textId="77777777" w:rsidR="00DE618A" w:rsidRPr="00A56843" w:rsidRDefault="00DE618A" w:rsidP="00DE618A">
            <w:pPr>
              <w:spacing w:after="0" w:line="240" w:lineRule="auto"/>
              <w:rPr>
                <w:rFonts w:eastAsia="Times New Roman" w:cs="Arial"/>
                <w:lang w:eastAsia="en-GB"/>
              </w:rPr>
            </w:pPr>
            <w:r w:rsidRPr="00A56843">
              <w:rPr>
                <w:rFonts w:eastAsia="Times New Roman" w:cs="Arial"/>
                <w:kern w:val="24"/>
                <w:lang w:eastAsia="en-GB"/>
              </w:rPr>
              <w:t xml:space="preserve">98% </w:t>
            </w:r>
            <w:r>
              <w:rPr>
                <w:rFonts w:eastAsia="Times New Roman" w:cs="Arial"/>
                <w:kern w:val="24"/>
                <w:lang w:eastAsia="en-GB"/>
              </w:rPr>
              <w:t>e</w:t>
            </w:r>
            <w:r w:rsidRPr="00A56843">
              <w:rPr>
                <w:rFonts w:eastAsia="Times New Roman" w:cs="Arial"/>
                <w:kern w:val="24"/>
                <w:lang w:eastAsia="en-GB"/>
              </w:rPr>
              <w:t>mail response within 10 days at peak, 4 days off peak.</w:t>
            </w:r>
          </w:p>
          <w:p w14:paraId="5846B4A8" w14:textId="60A38390" w:rsidR="00DE618A" w:rsidRPr="00A56843" w:rsidRDefault="00DE618A" w:rsidP="00DE618A">
            <w:pPr>
              <w:spacing w:after="0" w:line="240" w:lineRule="auto"/>
              <w:rPr>
                <w:rFonts w:eastAsia="Times New Roman" w:cs="Arial"/>
                <w:lang w:eastAsia="en-GB"/>
              </w:rPr>
            </w:pPr>
            <w:r w:rsidRPr="00A56843">
              <w:rPr>
                <w:rFonts w:eastAsia="Times New Roman" w:cs="Arial"/>
                <w:kern w:val="24"/>
                <w:lang w:eastAsia="en-GB"/>
              </w:rPr>
              <w:t>95% of calls answered within 60 seconds off-peak, 80% at peak.</w:t>
            </w:r>
          </w:p>
        </w:tc>
        <w:tc>
          <w:tcPr>
            <w:tcW w:w="2818" w:type="dxa"/>
            <w:tcBorders>
              <w:top w:val="single" w:sz="8" w:space="0" w:color="000000"/>
              <w:left w:val="single" w:sz="8" w:space="0" w:color="000000"/>
              <w:bottom w:val="single" w:sz="8" w:space="0" w:color="000000"/>
              <w:right w:val="single" w:sz="8" w:space="0" w:color="000000"/>
            </w:tcBorders>
            <w:shd w:val="clear" w:color="auto" w:fill="FFFFFF"/>
          </w:tcPr>
          <w:p w14:paraId="297D5476" w14:textId="1B35D65B" w:rsidR="00DE618A" w:rsidRPr="00A56843" w:rsidRDefault="00DE618A" w:rsidP="00DE618A">
            <w:pPr>
              <w:spacing w:after="0" w:line="240" w:lineRule="auto"/>
              <w:rPr>
                <w:rFonts w:eastAsia="Times New Roman" w:cs="Arial"/>
                <w:kern w:val="24"/>
                <w:lang w:eastAsia="en-GB"/>
              </w:rPr>
            </w:pPr>
            <w:r>
              <w:rPr>
                <w:rFonts w:eastAsia="Times New Roman" w:cs="Arial"/>
                <w:kern w:val="24"/>
                <w:lang w:eastAsia="en-GB"/>
              </w:rPr>
              <w:t>95</w:t>
            </w:r>
            <w:r w:rsidRPr="00A56843">
              <w:rPr>
                <w:rFonts w:eastAsia="Times New Roman" w:cs="Arial"/>
                <w:kern w:val="24"/>
                <w:lang w:eastAsia="en-GB"/>
              </w:rPr>
              <w:t>% accuracy identified through quality checks</w:t>
            </w:r>
          </w:p>
        </w:tc>
      </w:tr>
    </w:tbl>
    <w:p w14:paraId="7C89FE99" w14:textId="77777777" w:rsidR="005C601D" w:rsidRDefault="005C601D" w:rsidP="005C601D">
      <w:pPr>
        <w:spacing w:after="0"/>
        <w:rPr>
          <w:sz w:val="20"/>
          <w:szCs w:val="20"/>
        </w:rPr>
      </w:pPr>
    </w:p>
    <w:p w14:paraId="54F92B17" w14:textId="77777777" w:rsidR="005C601D" w:rsidRPr="00D7144A" w:rsidRDefault="005C601D" w:rsidP="005C601D">
      <w:pPr>
        <w:spacing w:after="0"/>
        <w:rPr>
          <w:sz w:val="20"/>
          <w:szCs w:val="20"/>
        </w:rPr>
      </w:pPr>
    </w:p>
    <w:p w14:paraId="75F706C4" w14:textId="77777777" w:rsidR="00D7144A" w:rsidRPr="00D7144A" w:rsidRDefault="00D7144A" w:rsidP="00D7144A">
      <w:pPr>
        <w:spacing w:after="0"/>
        <w:rPr>
          <w:sz w:val="20"/>
          <w:szCs w:val="20"/>
        </w:rPr>
      </w:pPr>
    </w:p>
    <w:p w14:paraId="20CB7F3F" w14:textId="77777777" w:rsidR="00131FE5" w:rsidRPr="00131FE5" w:rsidRDefault="00131FE5" w:rsidP="00131FE5">
      <w:pPr>
        <w:pStyle w:val="Heading1"/>
      </w:pPr>
      <w:r w:rsidRPr="00131FE5">
        <w:t xml:space="preserve">Appendix 2 </w:t>
      </w:r>
      <w:r w:rsidRPr="00131FE5">
        <w:tab/>
        <w:t xml:space="preserve">Definitions of Services </w:t>
      </w:r>
    </w:p>
    <w:p w14:paraId="39DD590C" w14:textId="77777777" w:rsidR="00131FE5" w:rsidRDefault="00131FE5" w:rsidP="00131FE5">
      <w:pPr>
        <w:spacing w:after="0" w:line="240" w:lineRule="auto"/>
      </w:pPr>
    </w:p>
    <w:p w14:paraId="7BADEDEF" w14:textId="77777777" w:rsidR="00D20157" w:rsidRPr="007744AB" w:rsidRDefault="00D20157" w:rsidP="00D20157">
      <w:pPr>
        <w:autoSpaceDE w:val="0"/>
        <w:autoSpaceDN w:val="0"/>
        <w:adjustRightInd w:val="0"/>
        <w:spacing w:after="0" w:line="240" w:lineRule="auto"/>
        <w:rPr>
          <w:rFonts w:cs="Calibri"/>
          <w:b/>
          <w:bCs/>
          <w:color w:val="000000"/>
        </w:rPr>
      </w:pPr>
      <w:r w:rsidRPr="007744AB">
        <w:rPr>
          <w:rFonts w:cs="Calibri"/>
          <w:b/>
          <w:bCs/>
          <w:color w:val="000000"/>
        </w:rPr>
        <w:t>Attendance</w:t>
      </w:r>
    </w:p>
    <w:p w14:paraId="5A8DDC17" w14:textId="77777777" w:rsidR="00D20157" w:rsidRPr="007744AB" w:rsidRDefault="00D20157" w:rsidP="00D20157">
      <w:pPr>
        <w:autoSpaceDE w:val="0"/>
        <w:autoSpaceDN w:val="0"/>
        <w:adjustRightInd w:val="0"/>
        <w:spacing w:after="0" w:line="240" w:lineRule="auto"/>
        <w:rPr>
          <w:rFonts w:cs="Calibri"/>
          <w:color w:val="000000"/>
        </w:rPr>
      </w:pPr>
      <w:r w:rsidRPr="007744AB">
        <w:rPr>
          <w:rFonts w:cs="Calibri"/>
          <w:color w:val="000000"/>
        </w:rPr>
        <w:t xml:space="preserve">Attendance on a </w:t>
      </w:r>
      <w:r w:rsidR="00F9557F" w:rsidRPr="007744AB">
        <w:rPr>
          <w:rFonts w:cs="Calibri"/>
          <w:color w:val="000000"/>
        </w:rPr>
        <w:t>Lear</w:t>
      </w:r>
      <w:r w:rsidR="005C601D" w:rsidRPr="007744AB">
        <w:rPr>
          <w:rFonts w:cs="Calibri"/>
          <w:color w:val="000000"/>
        </w:rPr>
        <w:t>n</w:t>
      </w:r>
      <w:r w:rsidR="00F9557F" w:rsidRPr="007744AB">
        <w:rPr>
          <w:rFonts w:cs="Calibri"/>
          <w:color w:val="000000"/>
        </w:rPr>
        <w:t xml:space="preserve">ing Aim </w:t>
      </w:r>
      <w:r w:rsidRPr="007744AB">
        <w:rPr>
          <w:rFonts w:cs="Calibri"/>
          <w:color w:val="000000"/>
        </w:rPr>
        <w:t xml:space="preserve">means active and on-going engagement with the activities and learning opportunities made available by the </w:t>
      </w:r>
      <w:r w:rsidR="002917C2" w:rsidRPr="007744AB">
        <w:rPr>
          <w:rFonts w:cs="Calibri"/>
          <w:color w:val="000000"/>
        </w:rPr>
        <w:t>FELP</w:t>
      </w:r>
      <w:r w:rsidRPr="007744AB">
        <w:rPr>
          <w:rFonts w:cs="Calibri"/>
          <w:color w:val="000000"/>
        </w:rPr>
        <w:t xml:space="preserve"> within the </w:t>
      </w:r>
      <w:r w:rsidR="00F9557F" w:rsidRPr="007744AB">
        <w:rPr>
          <w:rFonts w:cs="Calibri"/>
          <w:color w:val="000000"/>
        </w:rPr>
        <w:t xml:space="preserve">Learning Aim </w:t>
      </w:r>
      <w:r w:rsidRPr="007744AB">
        <w:rPr>
          <w:rFonts w:cs="Calibri"/>
          <w:color w:val="000000"/>
        </w:rPr>
        <w:t>duration, including, but not limited to, scheduled</w:t>
      </w:r>
      <w:r w:rsidR="007B0116" w:rsidRPr="007744AB">
        <w:rPr>
          <w:rFonts w:cs="Calibri"/>
          <w:color w:val="000000"/>
        </w:rPr>
        <w:t xml:space="preserve"> training, work-based learning,</w:t>
      </w:r>
      <w:r w:rsidR="002917C2" w:rsidRPr="007744AB">
        <w:rPr>
          <w:rFonts w:cs="Calibri"/>
          <w:color w:val="000000"/>
        </w:rPr>
        <w:t xml:space="preserve"> </w:t>
      </w:r>
      <w:r w:rsidR="000D18C2" w:rsidRPr="007744AB">
        <w:rPr>
          <w:rFonts w:cs="Calibri"/>
          <w:color w:val="000000"/>
        </w:rPr>
        <w:t>assessment and</w:t>
      </w:r>
      <w:r w:rsidRPr="007744AB">
        <w:rPr>
          <w:rFonts w:cs="Calibri"/>
          <w:color w:val="000000"/>
        </w:rPr>
        <w:t xml:space="preserve"> teaching activities.</w:t>
      </w:r>
    </w:p>
    <w:p w14:paraId="0F413859" w14:textId="77777777" w:rsidR="005C601D" w:rsidRPr="007744AB" w:rsidRDefault="005C601D" w:rsidP="00D20157">
      <w:pPr>
        <w:autoSpaceDE w:val="0"/>
        <w:autoSpaceDN w:val="0"/>
        <w:adjustRightInd w:val="0"/>
        <w:spacing w:after="0" w:line="240" w:lineRule="auto"/>
        <w:rPr>
          <w:rFonts w:cs="Calibri"/>
          <w:color w:val="000000"/>
        </w:rPr>
      </w:pPr>
    </w:p>
    <w:p w14:paraId="541B6794" w14:textId="77777777" w:rsidR="005C601D" w:rsidRPr="007744AB" w:rsidRDefault="005C601D" w:rsidP="005C601D">
      <w:pPr>
        <w:spacing w:after="0" w:line="240" w:lineRule="auto"/>
      </w:pPr>
      <w:r w:rsidRPr="007744AB">
        <w:t xml:space="preserve"> The last day of attendance (‘end date’), is the point at which attendance is deemed by the FELP to have ceased, such that no fee charge is liable. </w:t>
      </w:r>
    </w:p>
    <w:p w14:paraId="3A6169EA" w14:textId="77777777" w:rsidR="00D20157" w:rsidRPr="007744AB" w:rsidRDefault="00D20157" w:rsidP="00D20157">
      <w:pPr>
        <w:autoSpaceDE w:val="0"/>
        <w:autoSpaceDN w:val="0"/>
        <w:adjustRightInd w:val="0"/>
        <w:spacing w:after="0" w:line="240" w:lineRule="auto"/>
        <w:rPr>
          <w:rFonts w:cs="Calibri"/>
          <w:color w:val="000000"/>
        </w:rPr>
      </w:pPr>
    </w:p>
    <w:p w14:paraId="2AF968B0" w14:textId="77777777" w:rsidR="00E5179C" w:rsidRPr="007744AB" w:rsidRDefault="00E5179C" w:rsidP="00E5179C">
      <w:pPr>
        <w:pStyle w:val="NoSpacing"/>
        <w:rPr>
          <w:b/>
        </w:rPr>
      </w:pPr>
      <w:r w:rsidRPr="007744AB">
        <w:rPr>
          <w:b/>
        </w:rPr>
        <w:t>Suspension</w:t>
      </w:r>
    </w:p>
    <w:p w14:paraId="3D31EA66" w14:textId="77777777" w:rsidR="00E5179C" w:rsidRPr="007744AB" w:rsidRDefault="00E5179C" w:rsidP="00E5179C">
      <w:pPr>
        <w:pStyle w:val="NoSpacing"/>
      </w:pPr>
      <w:r w:rsidRPr="007744AB">
        <w:t xml:space="preserve">Suspension means that a learner has taken a temporary break from their learning aim and there is a reasonable expectation that the learner will return. This suspension period cannot run more than twelve months, and during this time, no fee is liable from the learner.  </w:t>
      </w:r>
    </w:p>
    <w:p w14:paraId="5F8DFD39" w14:textId="77777777" w:rsidR="00E5179C" w:rsidRDefault="00E5179C" w:rsidP="00D20157">
      <w:pPr>
        <w:autoSpaceDE w:val="0"/>
        <w:autoSpaceDN w:val="0"/>
        <w:adjustRightInd w:val="0"/>
        <w:spacing w:after="0" w:line="240" w:lineRule="auto"/>
        <w:rPr>
          <w:rFonts w:cs="Calibri"/>
          <w:b/>
          <w:bCs/>
          <w:color w:val="000000"/>
        </w:rPr>
      </w:pPr>
    </w:p>
    <w:p w14:paraId="462904FB" w14:textId="1E0FCF3C" w:rsidR="00D20157" w:rsidRPr="007744AB" w:rsidRDefault="00D20157" w:rsidP="00D20157">
      <w:pPr>
        <w:autoSpaceDE w:val="0"/>
        <w:autoSpaceDN w:val="0"/>
        <w:adjustRightInd w:val="0"/>
        <w:spacing w:after="0" w:line="240" w:lineRule="auto"/>
        <w:rPr>
          <w:rFonts w:cs="Calibri"/>
          <w:b/>
          <w:bCs/>
          <w:color w:val="000000"/>
        </w:rPr>
      </w:pPr>
      <w:r w:rsidRPr="007744AB">
        <w:rPr>
          <w:rFonts w:cs="Calibri"/>
          <w:b/>
          <w:bCs/>
          <w:color w:val="000000"/>
        </w:rPr>
        <w:t xml:space="preserve">Withdrawal </w:t>
      </w:r>
    </w:p>
    <w:p w14:paraId="2EB0FC42" w14:textId="77777777" w:rsidR="00D20157" w:rsidRPr="007744AB" w:rsidRDefault="00D20157" w:rsidP="00D20157">
      <w:pPr>
        <w:autoSpaceDE w:val="0"/>
        <w:autoSpaceDN w:val="0"/>
        <w:adjustRightInd w:val="0"/>
        <w:spacing w:after="0" w:line="240" w:lineRule="auto"/>
        <w:rPr>
          <w:rFonts w:cs="Calibri"/>
          <w:color w:val="000000"/>
        </w:rPr>
      </w:pPr>
      <w:r w:rsidRPr="007744AB">
        <w:rPr>
          <w:rFonts w:cs="Calibri"/>
          <w:color w:val="000000"/>
        </w:rPr>
        <w:t xml:space="preserve">A Withdrawal refers to the point at which scheduled learning, teaching and assessment activities and other active and on-going engagement end in agreement with the </w:t>
      </w:r>
      <w:r w:rsidR="002917C2" w:rsidRPr="007744AB">
        <w:rPr>
          <w:rFonts w:cs="Calibri"/>
          <w:color w:val="000000"/>
        </w:rPr>
        <w:t>FELP</w:t>
      </w:r>
      <w:r w:rsidRPr="007744AB">
        <w:rPr>
          <w:rFonts w:cs="Calibri"/>
          <w:color w:val="000000"/>
        </w:rPr>
        <w:t xml:space="preserve">.  </w:t>
      </w:r>
    </w:p>
    <w:p w14:paraId="56CA391B" w14:textId="65581AE2" w:rsidR="00D20157" w:rsidRPr="007744AB" w:rsidRDefault="00D20157" w:rsidP="00D20157">
      <w:pPr>
        <w:autoSpaceDE w:val="0"/>
        <w:autoSpaceDN w:val="0"/>
        <w:adjustRightInd w:val="0"/>
        <w:spacing w:after="0" w:line="240" w:lineRule="auto"/>
        <w:rPr>
          <w:rFonts w:cs="Calibri"/>
          <w:color w:val="000000"/>
        </w:rPr>
      </w:pPr>
      <w:r w:rsidRPr="007744AB">
        <w:rPr>
          <w:rFonts w:cs="Calibri"/>
          <w:i/>
          <w:color w:val="000000"/>
        </w:rPr>
        <w:t xml:space="preserve">A withdrawal applies where there is no intention on the </w:t>
      </w:r>
      <w:r w:rsidR="0020720B" w:rsidRPr="007744AB">
        <w:rPr>
          <w:rFonts w:cs="Calibri"/>
          <w:i/>
          <w:color w:val="000000"/>
        </w:rPr>
        <w:t>l</w:t>
      </w:r>
      <w:r w:rsidR="00D144FC" w:rsidRPr="007744AB">
        <w:rPr>
          <w:rFonts w:cs="Calibri"/>
          <w:i/>
          <w:color w:val="000000"/>
        </w:rPr>
        <w:t>earner</w:t>
      </w:r>
      <w:r w:rsidRPr="007744AB">
        <w:rPr>
          <w:rFonts w:cs="Calibri"/>
          <w:i/>
          <w:color w:val="000000"/>
        </w:rPr>
        <w:t xml:space="preserve"> to </w:t>
      </w:r>
      <w:r w:rsidR="000466B4" w:rsidRPr="007744AB">
        <w:rPr>
          <w:rFonts w:cs="Calibri"/>
          <w:i/>
          <w:color w:val="000000"/>
        </w:rPr>
        <w:t>re-engage and</w:t>
      </w:r>
      <w:r w:rsidRPr="007744AB">
        <w:rPr>
          <w:rFonts w:cs="Calibri"/>
          <w:i/>
          <w:color w:val="000000"/>
        </w:rPr>
        <w:t xml:space="preserve"> means there is no further obligation on the </w:t>
      </w:r>
      <w:r w:rsidR="0020720B" w:rsidRPr="007744AB">
        <w:rPr>
          <w:rFonts w:cs="Calibri"/>
          <w:i/>
          <w:color w:val="000000"/>
        </w:rPr>
        <w:t>l</w:t>
      </w:r>
      <w:r w:rsidR="00D144FC" w:rsidRPr="007744AB">
        <w:rPr>
          <w:rFonts w:cs="Calibri"/>
          <w:i/>
          <w:color w:val="000000"/>
        </w:rPr>
        <w:t>earner</w:t>
      </w:r>
      <w:r w:rsidRPr="007744AB">
        <w:rPr>
          <w:rFonts w:cs="Calibri"/>
          <w:i/>
          <w:color w:val="000000"/>
        </w:rPr>
        <w:t xml:space="preserve"> to pay fees to the </w:t>
      </w:r>
      <w:r w:rsidR="007744AB" w:rsidRPr="007744AB">
        <w:rPr>
          <w:rFonts w:cs="Calibri"/>
          <w:i/>
          <w:color w:val="000000"/>
        </w:rPr>
        <w:t>FELP</w:t>
      </w:r>
      <w:r w:rsidRPr="007744AB">
        <w:rPr>
          <w:rFonts w:cs="Calibri"/>
          <w:i/>
          <w:color w:val="000000"/>
        </w:rPr>
        <w:t xml:space="preserve">. A withdrawal results in termination of a </w:t>
      </w:r>
      <w:r w:rsidR="0020720B" w:rsidRPr="007744AB">
        <w:rPr>
          <w:rFonts w:cs="Calibri"/>
          <w:i/>
          <w:color w:val="000000"/>
        </w:rPr>
        <w:t>l</w:t>
      </w:r>
      <w:r w:rsidR="00D144FC" w:rsidRPr="007744AB">
        <w:rPr>
          <w:rFonts w:cs="Calibri"/>
          <w:i/>
          <w:color w:val="000000"/>
        </w:rPr>
        <w:t>earner</w:t>
      </w:r>
      <w:r w:rsidR="0020720B" w:rsidRPr="007744AB">
        <w:rPr>
          <w:rFonts w:cs="Calibri"/>
          <w:i/>
          <w:color w:val="000000"/>
        </w:rPr>
        <w:t>’</w:t>
      </w:r>
      <w:r w:rsidR="00D144FC" w:rsidRPr="007744AB">
        <w:rPr>
          <w:rFonts w:cs="Calibri"/>
          <w:i/>
          <w:color w:val="000000"/>
        </w:rPr>
        <w:t>s</w:t>
      </w:r>
      <w:r w:rsidRPr="007744AB">
        <w:rPr>
          <w:rFonts w:cs="Calibri"/>
          <w:i/>
          <w:color w:val="000000"/>
        </w:rPr>
        <w:t xml:space="preserve"> period of </w:t>
      </w:r>
      <w:r w:rsidR="0020720B" w:rsidRPr="007744AB">
        <w:rPr>
          <w:rFonts w:cs="Calibri"/>
          <w:i/>
          <w:color w:val="000000"/>
        </w:rPr>
        <w:t>l</w:t>
      </w:r>
      <w:r w:rsidR="00D144FC" w:rsidRPr="007744AB">
        <w:rPr>
          <w:rFonts w:cs="Calibri"/>
          <w:i/>
          <w:color w:val="000000"/>
        </w:rPr>
        <w:t>earner</w:t>
      </w:r>
      <w:r w:rsidRPr="007744AB">
        <w:rPr>
          <w:rFonts w:cs="Calibri"/>
          <w:i/>
          <w:color w:val="000000"/>
        </w:rPr>
        <w:t xml:space="preserve"> finance eligibility</w:t>
      </w:r>
      <w:r w:rsidRPr="007744AB">
        <w:rPr>
          <w:rFonts w:cs="Calibri"/>
          <w:color w:val="000000"/>
        </w:rPr>
        <w:t xml:space="preserve">. </w:t>
      </w:r>
    </w:p>
    <w:p w14:paraId="26FDA570" w14:textId="77777777" w:rsidR="00F74117" w:rsidRPr="007744AB" w:rsidRDefault="00F74117" w:rsidP="005C601D">
      <w:pPr>
        <w:spacing w:after="0" w:line="240" w:lineRule="auto"/>
      </w:pPr>
    </w:p>
    <w:p w14:paraId="70D45F3A" w14:textId="77777777" w:rsidR="00F74117" w:rsidRDefault="00F74117"/>
    <w:p w14:paraId="1E56151B" w14:textId="77777777" w:rsidR="00BF50C2" w:rsidRDefault="00BF50C2"/>
    <w:p w14:paraId="677468F9" w14:textId="77777777" w:rsidR="0030449E" w:rsidRDefault="0030449E"/>
    <w:p w14:paraId="77EC1330" w14:textId="77777777" w:rsidR="00F9557F" w:rsidRDefault="005D4E59" w:rsidP="00F9557F">
      <w:pPr>
        <w:pStyle w:val="Heading1"/>
      </w:pPr>
      <w:r>
        <w:lastRenderedPageBreak/>
        <w:t>Appendix 3</w:t>
      </w:r>
      <w:r w:rsidR="00F9557F" w:rsidRPr="00131FE5">
        <w:tab/>
        <w:t>D</w:t>
      </w:r>
      <w:r w:rsidR="00F9557F">
        <w:t xml:space="preserve">ata Sharing Statement </w:t>
      </w:r>
      <w:r w:rsidR="00F9557F" w:rsidRPr="00131FE5">
        <w:t xml:space="preserve"> </w:t>
      </w:r>
    </w:p>
    <w:p w14:paraId="36A90682" w14:textId="77777777" w:rsidR="00DA2367" w:rsidRPr="00DA2367" w:rsidRDefault="00DA2367" w:rsidP="00DA2367"/>
    <w:p w14:paraId="0D6B7CA0" w14:textId="77777777" w:rsidR="00CA159E" w:rsidRPr="001B2CAB" w:rsidRDefault="00CA159E" w:rsidP="00CA159E">
      <w:pPr>
        <w:spacing w:after="0" w:line="240" w:lineRule="auto"/>
        <w:rPr>
          <w:rFonts w:cs="Arial"/>
          <w:b/>
        </w:rPr>
      </w:pPr>
      <w:r w:rsidRPr="001B2CAB">
        <w:rPr>
          <w:rFonts w:cs="Arial"/>
          <w:b/>
        </w:rPr>
        <w:t>MINUTE OF AMENDMENT BETWEEN</w:t>
      </w:r>
    </w:p>
    <w:p w14:paraId="6F98BFF8" w14:textId="77777777" w:rsidR="00CA159E" w:rsidRPr="001B2CAB" w:rsidRDefault="00CA159E" w:rsidP="00CA159E">
      <w:pPr>
        <w:spacing w:after="0" w:line="240" w:lineRule="auto"/>
        <w:rPr>
          <w:rFonts w:cs="Arial"/>
          <w:b/>
        </w:rPr>
      </w:pPr>
    </w:p>
    <w:p w14:paraId="52096FA0" w14:textId="77777777" w:rsidR="00CA159E" w:rsidRPr="001B2CAB" w:rsidRDefault="00CA159E" w:rsidP="00CA159E">
      <w:pPr>
        <w:numPr>
          <w:ilvl w:val="0"/>
          <w:numId w:val="19"/>
        </w:numPr>
        <w:spacing w:after="0" w:line="240" w:lineRule="auto"/>
        <w:ind w:left="426" w:hanging="426"/>
        <w:jc w:val="both"/>
        <w:rPr>
          <w:rFonts w:cs="Arial"/>
        </w:rPr>
      </w:pPr>
      <w:bookmarkStart w:id="0" w:name="_Ref509915677"/>
      <w:r w:rsidRPr="001B2CAB">
        <w:rPr>
          <w:rFonts w:cs="Arial"/>
          <w:b/>
        </w:rPr>
        <w:t>Student Loans Company Limited</w:t>
      </w:r>
      <w:r w:rsidRPr="001B2CAB">
        <w:rPr>
          <w:rFonts w:cs="Arial"/>
        </w:rPr>
        <w:t>, hereinafter referred to as SLC, a company incorporated under the laws of England and Wales (Company Number: 2401034) and having its registered office at Memphis Building, Lingfield Point, McMullen Road, Darlington DL1 9RW (“SLC”); and</w:t>
      </w:r>
      <w:bookmarkEnd w:id="0"/>
      <w:r w:rsidRPr="001B2CAB">
        <w:rPr>
          <w:rFonts w:cs="Arial"/>
        </w:rPr>
        <w:t xml:space="preserve"> </w:t>
      </w:r>
    </w:p>
    <w:p w14:paraId="4F0C2192" w14:textId="77777777" w:rsidR="00CA159E" w:rsidRPr="001B2CAB" w:rsidRDefault="00CA159E" w:rsidP="00CA159E">
      <w:pPr>
        <w:spacing w:after="0" w:line="240" w:lineRule="auto"/>
        <w:ind w:left="426" w:hanging="426"/>
        <w:rPr>
          <w:rFonts w:cs="Arial"/>
        </w:rPr>
      </w:pPr>
    </w:p>
    <w:p w14:paraId="1F70ACB7" w14:textId="205185B5" w:rsidR="00CA159E" w:rsidRPr="001B2CAB" w:rsidRDefault="00E04E77" w:rsidP="00CA159E">
      <w:pPr>
        <w:numPr>
          <w:ilvl w:val="0"/>
          <w:numId w:val="19"/>
        </w:numPr>
        <w:spacing w:after="0" w:line="240" w:lineRule="auto"/>
        <w:ind w:left="426" w:hanging="426"/>
        <w:jc w:val="both"/>
        <w:rPr>
          <w:rFonts w:cs="Arial"/>
        </w:rPr>
      </w:pPr>
      <w:bookmarkStart w:id="1" w:name="_Ref509915678"/>
      <w:r w:rsidRPr="00BB5AEF">
        <w:rPr>
          <w:rFonts w:ascii="Arial" w:hAnsi="Arial" w:cs="Arial"/>
          <w:b/>
          <w:sz w:val="20"/>
          <w:szCs w:val="20"/>
        </w:rPr>
        <w:t>[</w:t>
      </w:r>
      <w:r w:rsidRPr="00AF4CD1">
        <w:rPr>
          <w:rFonts w:ascii="Arial" w:hAnsi="Arial" w:cs="Arial"/>
          <w:b/>
          <w:sz w:val="20"/>
          <w:szCs w:val="20"/>
          <w:highlight w:val="yellow"/>
        </w:rPr>
        <w:t>Insert provider name</w:t>
      </w:r>
      <w:r w:rsidRPr="00BB5AEF">
        <w:rPr>
          <w:rFonts w:ascii="Arial" w:hAnsi="Arial" w:cs="Arial"/>
          <w:sz w:val="20"/>
          <w:szCs w:val="20"/>
        </w:rPr>
        <w:t>],</w:t>
      </w:r>
      <w:r>
        <w:rPr>
          <w:rFonts w:ascii="Arial" w:hAnsi="Arial" w:cs="Arial"/>
          <w:sz w:val="20"/>
          <w:szCs w:val="20"/>
        </w:rPr>
        <w:t xml:space="preserve"> </w:t>
      </w:r>
      <w:r w:rsidR="00CA159E" w:rsidRPr="001B2CAB">
        <w:rPr>
          <w:rFonts w:cs="Arial"/>
        </w:rPr>
        <w:t xml:space="preserve">a company incorporated under the laws of England (Company Number: </w:t>
      </w:r>
      <w:r w:rsidR="00DE0025" w:rsidRPr="002F1749">
        <w:rPr>
          <w:rFonts w:cs="Arial"/>
          <w:highlight w:val="yellow"/>
        </w:rPr>
        <w:t>[insert]</w:t>
      </w:r>
      <w:r w:rsidR="00CA159E" w:rsidRPr="001B2CAB">
        <w:rPr>
          <w:rFonts w:cs="Arial"/>
        </w:rPr>
        <w:t>) and having its registered office at</w:t>
      </w:r>
      <w:r w:rsidR="000F5B8B">
        <w:rPr>
          <w:rFonts w:cs="Arial"/>
        </w:rPr>
        <w:t xml:space="preserve"> </w:t>
      </w:r>
      <w:r w:rsidRPr="00BB5AEF">
        <w:rPr>
          <w:rFonts w:ascii="Arial" w:hAnsi="Arial" w:cs="Arial"/>
          <w:sz w:val="20"/>
          <w:szCs w:val="20"/>
          <w:highlight w:val="yellow"/>
        </w:rPr>
        <w:t>[Insert details]</w:t>
      </w:r>
      <w:r w:rsidR="00533118" w:rsidRPr="00533118">
        <w:rPr>
          <w:rFonts w:cs="Arial"/>
        </w:rPr>
        <w:t xml:space="preserve"> </w:t>
      </w:r>
      <w:r w:rsidR="00CA159E" w:rsidRPr="001B2CAB">
        <w:rPr>
          <w:rFonts w:cs="Arial"/>
        </w:rPr>
        <w:t>(the “Processing Party”</w:t>
      </w:r>
      <w:proofErr w:type="gramStart"/>
      <w:r w:rsidR="00CA159E" w:rsidRPr="001B2CAB">
        <w:rPr>
          <w:rFonts w:cs="Arial"/>
        </w:rPr>
        <w:t>);</w:t>
      </w:r>
      <w:bookmarkEnd w:id="1"/>
      <w:proofErr w:type="gramEnd"/>
    </w:p>
    <w:p w14:paraId="409EB7AE" w14:textId="77777777" w:rsidR="00CA159E" w:rsidRPr="001B2CAB" w:rsidRDefault="00CA159E" w:rsidP="00CA159E">
      <w:pPr>
        <w:spacing w:after="0" w:line="240" w:lineRule="auto"/>
        <w:ind w:left="426" w:hanging="426"/>
        <w:rPr>
          <w:rFonts w:cs="Arial"/>
        </w:rPr>
      </w:pPr>
    </w:p>
    <w:p w14:paraId="23F967D4" w14:textId="77777777" w:rsidR="00CA159E" w:rsidRPr="001B2CAB" w:rsidRDefault="00CA159E" w:rsidP="00CA159E">
      <w:pPr>
        <w:spacing w:after="0" w:line="240" w:lineRule="auto"/>
        <w:ind w:left="426" w:hanging="426"/>
        <w:rPr>
          <w:rFonts w:cs="Arial"/>
          <w:b/>
        </w:rPr>
      </w:pPr>
    </w:p>
    <w:p w14:paraId="3210ECC9" w14:textId="77777777" w:rsidR="00CA159E" w:rsidRPr="001B2CAB" w:rsidRDefault="00CA159E" w:rsidP="00CA159E">
      <w:pPr>
        <w:spacing w:after="0" w:line="240" w:lineRule="auto"/>
        <w:ind w:left="426" w:hanging="426"/>
        <w:rPr>
          <w:rFonts w:cs="Arial"/>
          <w:b/>
        </w:rPr>
      </w:pPr>
      <w:r w:rsidRPr="001B2CAB">
        <w:rPr>
          <w:rFonts w:cs="Arial"/>
          <w:b/>
        </w:rPr>
        <w:t>WHEREAS</w:t>
      </w:r>
    </w:p>
    <w:p w14:paraId="4E589A69" w14:textId="77777777" w:rsidR="00CA159E" w:rsidRPr="001B2CAB" w:rsidRDefault="00CA159E" w:rsidP="00CA159E">
      <w:pPr>
        <w:widowControl w:val="0"/>
        <w:spacing w:after="0" w:line="240" w:lineRule="auto"/>
        <w:ind w:left="426" w:hanging="426"/>
        <w:rPr>
          <w:rFonts w:cs="Arial"/>
        </w:rPr>
      </w:pPr>
      <w:r w:rsidRPr="001B2CAB">
        <w:rPr>
          <w:rFonts w:cs="Arial"/>
        </w:rPr>
        <w:t>(A)</w:t>
      </w:r>
      <w:r w:rsidRPr="001B2CAB">
        <w:rPr>
          <w:rFonts w:cs="Arial"/>
        </w:rPr>
        <w:tab/>
        <w:t xml:space="preserve">The Parties entered into a Service Agreement dated </w:t>
      </w:r>
      <w:r w:rsidRPr="001B2CAB">
        <w:rPr>
          <w:rFonts w:cs="Arial"/>
          <w:highlight w:val="yellow"/>
        </w:rPr>
        <w:t>[insert date(s)</w:t>
      </w:r>
      <w:r w:rsidR="0042013A" w:rsidRPr="0042013A">
        <w:rPr>
          <w:rFonts w:cs="Arial"/>
          <w:highlight w:val="yellow"/>
        </w:rPr>
        <w:t xml:space="preserve"> </w:t>
      </w:r>
      <w:r w:rsidR="0042013A">
        <w:rPr>
          <w:rFonts w:cs="Arial"/>
          <w:highlight w:val="yellow"/>
        </w:rPr>
        <w:t>you sign this document</w:t>
      </w:r>
      <w:r w:rsidRPr="001B2CAB">
        <w:rPr>
          <w:rFonts w:cs="Arial"/>
          <w:highlight w:val="yellow"/>
        </w:rPr>
        <w:t>]</w:t>
      </w:r>
      <w:r w:rsidRPr="001B2CAB">
        <w:rPr>
          <w:rFonts w:cs="Arial"/>
        </w:rPr>
        <w:t>.</w:t>
      </w:r>
    </w:p>
    <w:p w14:paraId="38287B3F" w14:textId="77777777" w:rsidR="00CA159E" w:rsidRPr="001B2CAB" w:rsidRDefault="00CA159E" w:rsidP="00CA159E">
      <w:pPr>
        <w:widowControl w:val="0"/>
        <w:spacing w:after="0" w:line="240" w:lineRule="auto"/>
        <w:ind w:left="426" w:hanging="426"/>
        <w:rPr>
          <w:rFonts w:cs="Arial"/>
        </w:rPr>
      </w:pPr>
    </w:p>
    <w:p w14:paraId="040CF635" w14:textId="77777777" w:rsidR="00CA159E" w:rsidRPr="001B2CAB" w:rsidRDefault="00CA159E" w:rsidP="00CA159E">
      <w:pPr>
        <w:widowControl w:val="0"/>
        <w:spacing w:after="0" w:line="240" w:lineRule="auto"/>
        <w:ind w:left="426" w:hanging="426"/>
        <w:rPr>
          <w:rFonts w:cs="Arial"/>
        </w:rPr>
      </w:pPr>
      <w:r w:rsidRPr="001B2CAB">
        <w:rPr>
          <w:rFonts w:cs="Arial"/>
        </w:rPr>
        <w:t>(B)</w:t>
      </w:r>
      <w:r w:rsidRPr="001B2CAB">
        <w:rPr>
          <w:rFonts w:cs="Arial"/>
        </w:rPr>
        <w:tab/>
        <w:t>The Parties have agreed to amend the Agreement as detailed in this amendment (the “</w:t>
      </w:r>
      <w:proofErr w:type="spellStart"/>
      <w:r w:rsidRPr="001B2CAB">
        <w:rPr>
          <w:rFonts w:cs="Arial"/>
          <w:b/>
        </w:rPr>
        <w:t>MoA</w:t>
      </w:r>
      <w:proofErr w:type="spellEnd"/>
      <w:r w:rsidRPr="001B2CAB">
        <w:rPr>
          <w:rFonts w:cs="Arial"/>
        </w:rPr>
        <w:t>”).</w:t>
      </w:r>
    </w:p>
    <w:p w14:paraId="004E0C53" w14:textId="77777777" w:rsidR="00CA159E" w:rsidRPr="001B2CAB" w:rsidRDefault="00CA159E" w:rsidP="00CA159E">
      <w:pPr>
        <w:spacing w:after="0" w:line="240" w:lineRule="auto"/>
        <w:rPr>
          <w:rFonts w:cs="Arial"/>
          <w:b/>
        </w:rPr>
      </w:pPr>
    </w:p>
    <w:p w14:paraId="4D3B810D" w14:textId="77777777" w:rsidR="00CA159E" w:rsidRPr="001B2CAB" w:rsidRDefault="00CA159E" w:rsidP="00CA159E">
      <w:pPr>
        <w:spacing w:after="0" w:line="240" w:lineRule="auto"/>
        <w:rPr>
          <w:rFonts w:cs="Arial"/>
          <w:b/>
        </w:rPr>
      </w:pPr>
      <w:r w:rsidRPr="001B2CAB">
        <w:rPr>
          <w:rFonts w:cs="Arial"/>
          <w:b/>
        </w:rPr>
        <w:t xml:space="preserve">Now therefore the Parties hereby agree as follows </w:t>
      </w:r>
      <w:proofErr w:type="gramStart"/>
      <w:r w:rsidRPr="001B2CAB">
        <w:rPr>
          <w:rFonts w:cs="Arial"/>
          <w:b/>
        </w:rPr>
        <w:t>that:-</w:t>
      </w:r>
      <w:proofErr w:type="gramEnd"/>
    </w:p>
    <w:p w14:paraId="7ED2B2B3" w14:textId="77777777" w:rsidR="00CA159E" w:rsidRPr="001B2CAB" w:rsidRDefault="00CA159E" w:rsidP="00CA159E">
      <w:pPr>
        <w:spacing w:after="0" w:line="240" w:lineRule="auto"/>
        <w:rPr>
          <w:rFonts w:cs="Arial"/>
          <w:b/>
        </w:rPr>
      </w:pPr>
    </w:p>
    <w:p w14:paraId="741E8997" w14:textId="77777777" w:rsidR="00CA159E" w:rsidRPr="001B2CAB" w:rsidRDefault="00CA159E" w:rsidP="00CA159E">
      <w:pPr>
        <w:pStyle w:val="RecitalStyle"/>
        <w:numPr>
          <w:ilvl w:val="0"/>
          <w:numId w:val="0"/>
        </w:numPr>
        <w:tabs>
          <w:tab w:val="left" w:pos="720"/>
        </w:tabs>
        <w:spacing w:after="0" w:line="240" w:lineRule="auto"/>
        <w:ind w:left="426" w:hanging="426"/>
        <w:rPr>
          <w:rFonts w:ascii="Calibri" w:hAnsi="Calibri" w:cs="Arial"/>
        </w:rPr>
      </w:pPr>
      <w:r w:rsidRPr="001B2CAB">
        <w:rPr>
          <w:rFonts w:ascii="Calibri" w:hAnsi="Calibri" w:cs="Arial"/>
        </w:rPr>
        <w:t>1.</w:t>
      </w:r>
      <w:r w:rsidRPr="001B2CAB">
        <w:rPr>
          <w:rFonts w:ascii="Calibri" w:hAnsi="Calibri" w:cs="Arial"/>
        </w:rPr>
        <w:tab/>
        <w:t>Notwithstanding the date(s) of signature hereof, the Parties agree that with effect from 25</w:t>
      </w:r>
      <w:r w:rsidRPr="001B2CAB">
        <w:rPr>
          <w:rFonts w:ascii="Calibri" w:hAnsi="Calibri" w:cs="Arial"/>
          <w:vertAlign w:val="superscript"/>
        </w:rPr>
        <w:t>th</w:t>
      </w:r>
      <w:r w:rsidRPr="001B2CAB">
        <w:rPr>
          <w:rFonts w:ascii="Calibri" w:hAnsi="Calibri" w:cs="Arial"/>
        </w:rPr>
        <w:t xml:space="preserve"> May 2018, the following changes to the Agreement shall be effective:</w:t>
      </w:r>
    </w:p>
    <w:p w14:paraId="52915CC4" w14:textId="77777777" w:rsidR="00CA159E" w:rsidRPr="001B2CAB" w:rsidRDefault="00CA159E" w:rsidP="00CA159E">
      <w:pPr>
        <w:pStyle w:val="RecitalStyle"/>
        <w:numPr>
          <w:ilvl w:val="0"/>
          <w:numId w:val="0"/>
        </w:numPr>
        <w:tabs>
          <w:tab w:val="left" w:pos="720"/>
        </w:tabs>
        <w:spacing w:after="0" w:line="240" w:lineRule="auto"/>
        <w:rPr>
          <w:rFonts w:ascii="Calibri" w:hAnsi="Calibri" w:cs="Arial"/>
          <w:b/>
        </w:rPr>
      </w:pPr>
    </w:p>
    <w:p w14:paraId="2DA0AF3C" w14:textId="77777777" w:rsidR="00CA159E" w:rsidRPr="001B2CAB" w:rsidRDefault="00CA159E" w:rsidP="00CA159E">
      <w:pPr>
        <w:pStyle w:val="BurnessPaullClauseNumbering2"/>
        <w:numPr>
          <w:ilvl w:val="0"/>
          <w:numId w:val="20"/>
        </w:numPr>
        <w:tabs>
          <w:tab w:val="left" w:pos="720"/>
        </w:tabs>
        <w:spacing w:after="0" w:line="240" w:lineRule="auto"/>
        <w:ind w:left="426" w:hanging="426"/>
        <w:rPr>
          <w:rFonts w:ascii="Calibri" w:hAnsi="Calibri" w:cs="Arial"/>
          <w:b/>
        </w:rPr>
      </w:pPr>
      <w:bookmarkStart w:id="2" w:name="_Ref509915679"/>
      <w:r w:rsidRPr="001B2CAB">
        <w:rPr>
          <w:rFonts w:ascii="Calibri" w:hAnsi="Calibri" w:cs="Arial"/>
          <w:b/>
        </w:rPr>
        <w:t>Definitions</w:t>
      </w:r>
      <w:bookmarkEnd w:id="2"/>
    </w:p>
    <w:p w14:paraId="086F5715" w14:textId="77777777" w:rsidR="00CA159E" w:rsidRPr="001B2CAB" w:rsidRDefault="00CA159E" w:rsidP="00CA159E">
      <w:pPr>
        <w:pStyle w:val="BurnessPaullClauseNumbering2"/>
        <w:numPr>
          <w:ilvl w:val="0"/>
          <w:numId w:val="0"/>
        </w:numPr>
        <w:tabs>
          <w:tab w:val="left" w:pos="720"/>
        </w:tabs>
        <w:spacing w:after="0" w:line="240" w:lineRule="auto"/>
        <w:ind w:left="426" w:hanging="426"/>
        <w:rPr>
          <w:rFonts w:ascii="Calibri" w:hAnsi="Calibri" w:cs="Arial"/>
        </w:rPr>
      </w:pPr>
      <w:r w:rsidRPr="001B2CAB">
        <w:rPr>
          <w:rFonts w:ascii="Calibri" w:hAnsi="Calibri" w:cs="Arial"/>
        </w:rPr>
        <w:t>2.1</w:t>
      </w:r>
      <w:r w:rsidRPr="001B2CAB">
        <w:rPr>
          <w:rFonts w:ascii="Calibri" w:hAnsi="Calibri" w:cs="Arial"/>
        </w:rPr>
        <w:tab/>
        <w:t xml:space="preserve">The following definitions shall be inserted in the Agreement and, where applicable, replace the definition in place prior to this </w:t>
      </w:r>
      <w:proofErr w:type="spellStart"/>
      <w:r w:rsidRPr="001B2CAB">
        <w:rPr>
          <w:rFonts w:ascii="Calibri" w:hAnsi="Calibri" w:cs="Arial"/>
        </w:rPr>
        <w:t>MoA</w:t>
      </w:r>
      <w:proofErr w:type="spellEnd"/>
      <w:r w:rsidRPr="001B2CAB">
        <w:rPr>
          <w:rFonts w:ascii="Calibri" w:hAnsi="Calibri" w:cs="Arial"/>
        </w:rPr>
        <w:t>:</w:t>
      </w:r>
    </w:p>
    <w:p w14:paraId="326C82A4" w14:textId="77777777" w:rsidR="00CA159E" w:rsidRPr="001B2CAB" w:rsidRDefault="00CA159E" w:rsidP="00CA159E">
      <w:pPr>
        <w:pStyle w:val="Definition"/>
        <w:numPr>
          <w:ilvl w:val="0"/>
          <w:numId w:val="17"/>
        </w:numPr>
        <w:spacing w:after="0" w:line="240" w:lineRule="auto"/>
        <w:ind w:left="426"/>
        <w:rPr>
          <w:rFonts w:ascii="Calibri" w:hAnsi="Calibri" w:cs="Arial"/>
        </w:rPr>
      </w:pPr>
      <w:bookmarkStart w:id="3" w:name="_Ref509915680"/>
    </w:p>
    <w:bookmarkEnd w:id="3"/>
    <w:p w14:paraId="07DCA865" w14:textId="73E3B63B" w:rsidR="00CA159E" w:rsidRPr="001B2CAB" w:rsidRDefault="00CA159E" w:rsidP="00CA159E">
      <w:pPr>
        <w:pStyle w:val="Definition"/>
        <w:numPr>
          <w:ilvl w:val="0"/>
          <w:numId w:val="17"/>
        </w:numPr>
        <w:spacing w:after="0" w:line="240" w:lineRule="auto"/>
        <w:ind w:left="426"/>
        <w:rPr>
          <w:rFonts w:ascii="Calibri" w:hAnsi="Calibri" w:cs="Arial"/>
        </w:rPr>
      </w:pPr>
      <w:r w:rsidRPr="001B2CAB">
        <w:rPr>
          <w:rFonts w:ascii="Calibri" w:hAnsi="Calibri" w:cs="Arial"/>
          <w:b/>
        </w:rPr>
        <w:t xml:space="preserve"> </w:t>
      </w:r>
      <w:bookmarkStart w:id="4" w:name="_Ref509915681"/>
      <w:r w:rsidRPr="001B2CAB">
        <w:rPr>
          <w:rFonts w:ascii="Calibri" w:hAnsi="Calibri" w:cs="Arial"/>
          <w:b/>
        </w:rPr>
        <w:t>“Controller”</w:t>
      </w:r>
      <w:r w:rsidRPr="001B2CAB">
        <w:rPr>
          <w:rFonts w:ascii="Calibri" w:hAnsi="Calibri" w:cs="Arial"/>
        </w:rPr>
        <w:t xml:space="preserve">, </w:t>
      </w:r>
      <w:r w:rsidRPr="001B2CAB">
        <w:rPr>
          <w:rFonts w:ascii="Calibri" w:hAnsi="Calibri" w:cs="Arial"/>
          <w:b/>
        </w:rPr>
        <w:t>“Data Subject”</w:t>
      </w:r>
      <w:r w:rsidRPr="001B2CAB">
        <w:rPr>
          <w:rFonts w:ascii="Calibri" w:hAnsi="Calibri" w:cs="Arial"/>
        </w:rPr>
        <w:t xml:space="preserve">, </w:t>
      </w:r>
      <w:r w:rsidRPr="001B2CAB">
        <w:rPr>
          <w:rFonts w:ascii="Calibri" w:hAnsi="Calibri" w:cs="Arial"/>
          <w:b/>
        </w:rPr>
        <w:t>“Personal Data”,</w:t>
      </w:r>
      <w:r w:rsidRPr="001B2CAB">
        <w:rPr>
          <w:rFonts w:ascii="Calibri" w:hAnsi="Calibri" w:cs="Arial"/>
        </w:rPr>
        <w:t xml:space="preserve"> </w:t>
      </w:r>
      <w:r w:rsidRPr="001B2CAB">
        <w:rPr>
          <w:rFonts w:ascii="Calibri" w:hAnsi="Calibri" w:cs="Arial"/>
          <w:b/>
        </w:rPr>
        <w:t>“Personal Data Breach”</w:t>
      </w:r>
      <w:r w:rsidRPr="001B2CAB">
        <w:rPr>
          <w:rFonts w:ascii="Calibri" w:hAnsi="Calibri" w:cs="Arial"/>
        </w:rPr>
        <w:t xml:space="preserve">, </w:t>
      </w:r>
      <w:r w:rsidRPr="001B2CAB">
        <w:rPr>
          <w:rFonts w:ascii="Calibri" w:hAnsi="Calibri" w:cs="Arial"/>
          <w:b/>
        </w:rPr>
        <w:t>“Processing”</w:t>
      </w:r>
      <w:r w:rsidRPr="001B2CAB">
        <w:rPr>
          <w:rFonts w:ascii="Calibri" w:hAnsi="Calibri" w:cs="Arial"/>
        </w:rPr>
        <w:t xml:space="preserve">, </w:t>
      </w:r>
      <w:r w:rsidRPr="001B2CAB">
        <w:rPr>
          <w:rFonts w:ascii="Calibri" w:hAnsi="Calibri" w:cs="Arial"/>
          <w:b/>
        </w:rPr>
        <w:t>“Processor”, “Pseudonymisation”</w:t>
      </w:r>
      <w:r w:rsidRPr="001B2CAB">
        <w:rPr>
          <w:rFonts w:ascii="Calibri" w:hAnsi="Calibri" w:cs="Arial"/>
        </w:rPr>
        <w:t xml:space="preserve"> and </w:t>
      </w:r>
      <w:r w:rsidRPr="001B2CAB">
        <w:rPr>
          <w:rFonts w:ascii="Calibri" w:hAnsi="Calibri" w:cs="Arial"/>
          <w:b/>
        </w:rPr>
        <w:t>“Supervisory Authority”</w:t>
      </w:r>
      <w:r w:rsidRPr="001B2CAB">
        <w:rPr>
          <w:rFonts w:ascii="Calibri" w:hAnsi="Calibri" w:cs="Arial"/>
        </w:rPr>
        <w:t xml:space="preserve"> have the meanings set out in </w:t>
      </w:r>
      <w:r w:rsidR="00B60A81">
        <w:rPr>
          <w:rFonts w:ascii="Calibri" w:hAnsi="Calibri" w:cs="Arial"/>
        </w:rPr>
        <w:t xml:space="preserve">UK </w:t>
      </w:r>
      <w:r w:rsidRPr="001B2CAB">
        <w:rPr>
          <w:rFonts w:ascii="Calibri" w:hAnsi="Calibri" w:cs="Arial"/>
        </w:rPr>
        <w:t>GDPR (as applicable</w:t>
      </w:r>
      <w:proofErr w:type="gramStart"/>
      <w:r w:rsidRPr="001B2CAB">
        <w:rPr>
          <w:rFonts w:ascii="Calibri" w:hAnsi="Calibri" w:cs="Arial"/>
        </w:rPr>
        <w:t>);</w:t>
      </w:r>
      <w:bookmarkEnd w:id="4"/>
      <w:proofErr w:type="gramEnd"/>
    </w:p>
    <w:p w14:paraId="3734E3DD" w14:textId="77777777" w:rsidR="00CA159E" w:rsidRPr="001B2CAB" w:rsidRDefault="00CA159E" w:rsidP="00CA159E">
      <w:pPr>
        <w:pStyle w:val="Definition"/>
        <w:numPr>
          <w:ilvl w:val="0"/>
          <w:numId w:val="0"/>
        </w:numPr>
        <w:spacing w:after="0" w:line="240" w:lineRule="auto"/>
        <w:rPr>
          <w:rFonts w:ascii="Calibri" w:hAnsi="Calibri" w:cs="Arial"/>
        </w:rPr>
      </w:pPr>
    </w:p>
    <w:p w14:paraId="03165F78" w14:textId="77777777" w:rsidR="00CA159E" w:rsidRDefault="00CA159E" w:rsidP="00CA159E">
      <w:pPr>
        <w:pStyle w:val="Definition"/>
        <w:numPr>
          <w:ilvl w:val="0"/>
          <w:numId w:val="0"/>
        </w:numPr>
        <w:spacing w:after="0" w:line="240" w:lineRule="auto"/>
        <w:ind w:left="425"/>
        <w:rPr>
          <w:rFonts w:ascii="Calibri" w:hAnsi="Calibri" w:cs="Arial"/>
          <w:color w:val="000000"/>
        </w:rPr>
      </w:pPr>
      <w:r w:rsidRPr="001B2CAB">
        <w:rPr>
          <w:rFonts w:ascii="Calibri" w:hAnsi="Calibri" w:cs="Arial"/>
        </w:rPr>
        <w:t>“</w:t>
      </w:r>
      <w:r w:rsidRPr="001B2CAB">
        <w:rPr>
          <w:rFonts w:ascii="Calibri" w:hAnsi="Calibri" w:cs="Arial"/>
          <w:b/>
        </w:rPr>
        <w:t>Controller Party</w:t>
      </w:r>
      <w:r w:rsidRPr="001B2CAB">
        <w:rPr>
          <w:rFonts w:ascii="Calibri" w:hAnsi="Calibri" w:cs="Arial"/>
        </w:rPr>
        <w:t xml:space="preserve">” has the meaning given to it in clause </w:t>
      </w:r>
      <w:proofErr w:type="gramStart"/>
      <w:r w:rsidRPr="001B2CAB">
        <w:rPr>
          <w:rFonts w:ascii="Calibri" w:hAnsi="Calibri" w:cs="Arial"/>
          <w:color w:val="000000"/>
        </w:rPr>
        <w:t>5.1;</w:t>
      </w:r>
      <w:proofErr w:type="gramEnd"/>
      <w:r w:rsidRPr="001B2CAB">
        <w:rPr>
          <w:rFonts w:ascii="Calibri" w:hAnsi="Calibri" w:cs="Arial"/>
          <w:color w:val="000000"/>
        </w:rPr>
        <w:t xml:space="preserve"> </w:t>
      </w:r>
    </w:p>
    <w:p w14:paraId="78A4FFE3" w14:textId="77777777" w:rsidR="008741B5" w:rsidRDefault="008741B5" w:rsidP="00CA159E">
      <w:pPr>
        <w:pStyle w:val="Definition"/>
        <w:numPr>
          <w:ilvl w:val="0"/>
          <w:numId w:val="0"/>
        </w:numPr>
        <w:spacing w:after="0" w:line="240" w:lineRule="auto"/>
        <w:ind w:left="425"/>
        <w:rPr>
          <w:rFonts w:ascii="Calibri" w:hAnsi="Calibri" w:cs="Arial"/>
          <w:color w:val="000000"/>
        </w:rPr>
      </w:pPr>
    </w:p>
    <w:p w14:paraId="3E7755E7" w14:textId="198E48C0" w:rsidR="008741B5" w:rsidRPr="008741B5" w:rsidRDefault="008741B5" w:rsidP="00CA159E">
      <w:pPr>
        <w:pStyle w:val="Definition"/>
        <w:numPr>
          <w:ilvl w:val="0"/>
          <w:numId w:val="0"/>
        </w:numPr>
        <w:spacing w:after="0" w:line="240" w:lineRule="auto"/>
        <w:ind w:left="425"/>
        <w:rPr>
          <w:rFonts w:ascii="Calibri" w:hAnsi="Calibri" w:cs="Arial"/>
        </w:rPr>
      </w:pPr>
      <w:r>
        <w:rPr>
          <w:rFonts w:ascii="Calibri" w:hAnsi="Calibri" w:cs="Arial"/>
          <w:b/>
          <w:bCs/>
          <w:color w:val="000000"/>
        </w:rPr>
        <w:t xml:space="preserve">“Cyber Security Incident” </w:t>
      </w:r>
      <w:r>
        <w:rPr>
          <w:rFonts w:ascii="Calibri" w:hAnsi="Calibri" w:cs="Arial"/>
          <w:color w:val="000000"/>
        </w:rPr>
        <w:t>means any offensive manoeuvre targeting computer systems, networks, infrastructures, personal computer devices or data.</w:t>
      </w:r>
    </w:p>
    <w:p w14:paraId="0C592B54" w14:textId="77777777" w:rsidR="00CA159E" w:rsidRPr="001B2CAB" w:rsidRDefault="00CA159E" w:rsidP="00CA159E">
      <w:pPr>
        <w:pStyle w:val="Definition"/>
        <w:numPr>
          <w:ilvl w:val="0"/>
          <w:numId w:val="17"/>
        </w:numPr>
        <w:spacing w:after="0" w:line="240" w:lineRule="auto"/>
        <w:ind w:left="426"/>
        <w:rPr>
          <w:rFonts w:ascii="Calibri" w:hAnsi="Calibri" w:cs="Arial"/>
          <w:i/>
        </w:rPr>
      </w:pPr>
      <w:bookmarkStart w:id="5" w:name="_Ref509915682"/>
    </w:p>
    <w:bookmarkEnd w:id="5"/>
    <w:p w14:paraId="53DFF9DA" w14:textId="5332D98E" w:rsidR="00CA159E" w:rsidRPr="001B2CAB" w:rsidRDefault="00CA159E" w:rsidP="00CA159E">
      <w:pPr>
        <w:pStyle w:val="DefinitionLevel1"/>
        <w:numPr>
          <w:ilvl w:val="0"/>
          <w:numId w:val="0"/>
        </w:numPr>
        <w:tabs>
          <w:tab w:val="left" w:pos="720"/>
        </w:tabs>
        <w:spacing w:after="0" w:line="240" w:lineRule="auto"/>
        <w:ind w:left="425"/>
        <w:rPr>
          <w:rFonts w:ascii="Calibri" w:hAnsi="Calibri" w:cs="Arial"/>
        </w:rPr>
      </w:pPr>
      <w:r w:rsidRPr="001B2CAB">
        <w:rPr>
          <w:rFonts w:ascii="Calibri" w:hAnsi="Calibri" w:cs="Arial"/>
          <w:b/>
        </w:rPr>
        <w:t>“Data Protection Laws”</w:t>
      </w:r>
      <w:r w:rsidRPr="001B2CAB">
        <w:rPr>
          <w:rFonts w:ascii="Calibri" w:hAnsi="Calibri" w:cs="Arial"/>
        </w:rPr>
        <w:t xml:space="preserve"> means </w:t>
      </w:r>
      <w:r w:rsidR="00B60A81" w:rsidRPr="00BB5AEF">
        <w:rPr>
          <w:rFonts w:ascii="Arial" w:hAnsi="Arial" w:cs="Arial"/>
          <w:sz w:val="20"/>
          <w:szCs w:val="20"/>
        </w:rPr>
        <w:t>the Data Protection Act 2018</w:t>
      </w:r>
      <w:r w:rsidR="00B60A81">
        <w:rPr>
          <w:rFonts w:ascii="Arial" w:hAnsi="Arial" w:cs="Arial"/>
          <w:sz w:val="20"/>
          <w:szCs w:val="20"/>
        </w:rPr>
        <w:t>,</w:t>
      </w:r>
      <w:r w:rsidR="00B60A81" w:rsidRPr="00B60A81">
        <w:rPr>
          <w:rFonts w:ascii="Arial" w:hAnsi="Arial" w:cs="Arial"/>
          <w:sz w:val="20"/>
          <w:szCs w:val="20"/>
        </w:rPr>
        <w:t xml:space="preserve"> </w:t>
      </w:r>
      <w:r w:rsidR="00B60A81" w:rsidRPr="00BB5AEF">
        <w:rPr>
          <w:rFonts w:ascii="Arial" w:hAnsi="Arial" w:cs="Arial"/>
          <w:sz w:val="20"/>
          <w:szCs w:val="20"/>
        </w:rPr>
        <w:t xml:space="preserve">the </w:t>
      </w:r>
      <w:r w:rsidR="00B60A81">
        <w:rPr>
          <w:rFonts w:ascii="Arial" w:hAnsi="Arial" w:cs="Arial"/>
          <w:sz w:val="20"/>
          <w:szCs w:val="20"/>
        </w:rPr>
        <w:t xml:space="preserve">UK </w:t>
      </w:r>
      <w:r w:rsidR="00B60A81" w:rsidRPr="00BB5AEF">
        <w:rPr>
          <w:rFonts w:ascii="Arial" w:hAnsi="Arial" w:cs="Arial"/>
          <w:sz w:val="20"/>
          <w:szCs w:val="20"/>
        </w:rPr>
        <w:t>GDPR and any other</w:t>
      </w:r>
      <w:r w:rsidR="00B60A81">
        <w:rPr>
          <w:rFonts w:ascii="Arial" w:hAnsi="Arial" w:cs="Arial"/>
          <w:sz w:val="20"/>
          <w:szCs w:val="20"/>
        </w:rPr>
        <w:t xml:space="preserve"> </w:t>
      </w:r>
      <w:r w:rsidR="00B60A81" w:rsidRPr="00BB5AEF">
        <w:rPr>
          <w:rFonts w:ascii="Arial" w:hAnsi="Arial" w:cs="Arial"/>
          <w:sz w:val="20"/>
          <w:szCs w:val="20"/>
        </w:rPr>
        <w:t xml:space="preserve">laws, regulations and provisions relating to data protection or privacy applicable in the </w:t>
      </w:r>
      <w:r w:rsidR="00B60A81">
        <w:rPr>
          <w:rFonts w:ascii="Arial" w:hAnsi="Arial" w:cs="Arial"/>
          <w:sz w:val="20"/>
          <w:szCs w:val="20"/>
        </w:rPr>
        <w:t xml:space="preserve">United Kingdom and, </w:t>
      </w:r>
      <w:r w:rsidR="00B60A81" w:rsidRPr="00BB5AEF">
        <w:rPr>
          <w:rFonts w:ascii="Arial" w:hAnsi="Arial" w:cs="Arial"/>
          <w:sz w:val="20"/>
          <w:szCs w:val="20"/>
        </w:rPr>
        <w:t>to the extent applicable, of any</w:t>
      </w:r>
      <w:r w:rsidRPr="001B2CAB">
        <w:rPr>
          <w:rFonts w:ascii="Calibri" w:hAnsi="Calibri" w:cs="Arial"/>
        </w:rPr>
        <w:t xml:space="preserve"> other </w:t>
      </w:r>
      <w:proofErr w:type="gramStart"/>
      <w:r w:rsidRPr="001B2CAB">
        <w:rPr>
          <w:rFonts w:ascii="Calibri" w:hAnsi="Calibri" w:cs="Arial"/>
        </w:rPr>
        <w:t>country;</w:t>
      </w:r>
      <w:proofErr w:type="gramEnd"/>
    </w:p>
    <w:p w14:paraId="528103D7" w14:textId="77777777" w:rsidR="00CA159E" w:rsidRPr="001B2CAB" w:rsidRDefault="00CA159E" w:rsidP="00CA159E">
      <w:pPr>
        <w:pStyle w:val="DefinitionLevel1"/>
        <w:numPr>
          <w:ilvl w:val="0"/>
          <w:numId w:val="0"/>
        </w:numPr>
        <w:tabs>
          <w:tab w:val="left" w:pos="720"/>
        </w:tabs>
        <w:spacing w:after="0" w:line="240" w:lineRule="auto"/>
        <w:ind w:left="425"/>
        <w:rPr>
          <w:rFonts w:ascii="Calibri" w:hAnsi="Calibri" w:cs="Arial"/>
        </w:rPr>
      </w:pPr>
    </w:p>
    <w:p w14:paraId="3A7D2FFD" w14:textId="09C5C860" w:rsidR="00CA159E" w:rsidRPr="001B2CAB" w:rsidRDefault="00CA159E" w:rsidP="00CA159E">
      <w:pPr>
        <w:pStyle w:val="DefinitionLevel1"/>
        <w:numPr>
          <w:ilvl w:val="0"/>
          <w:numId w:val="0"/>
        </w:numPr>
        <w:tabs>
          <w:tab w:val="left" w:pos="720"/>
        </w:tabs>
        <w:spacing w:after="0" w:line="240" w:lineRule="auto"/>
        <w:ind w:left="425"/>
        <w:rPr>
          <w:rFonts w:ascii="Calibri" w:hAnsi="Calibri" w:cs="Arial"/>
        </w:rPr>
      </w:pPr>
      <w:r w:rsidRPr="001B2CAB">
        <w:rPr>
          <w:rFonts w:ascii="Calibri" w:hAnsi="Calibri" w:cs="Arial"/>
          <w:b/>
        </w:rPr>
        <w:t xml:space="preserve">“Access Request”, “Data Protection Officer” and “Joint Controller” </w:t>
      </w:r>
      <w:r w:rsidRPr="001B2CAB">
        <w:rPr>
          <w:rFonts w:ascii="Calibri" w:hAnsi="Calibri" w:cs="Arial"/>
        </w:rPr>
        <w:t xml:space="preserve">means as described in the </w:t>
      </w:r>
      <w:r w:rsidR="00B60A81">
        <w:rPr>
          <w:rFonts w:ascii="Calibri" w:hAnsi="Calibri" w:cs="Arial"/>
        </w:rPr>
        <w:t xml:space="preserve">UK </w:t>
      </w:r>
      <w:proofErr w:type="gramStart"/>
      <w:r w:rsidRPr="001B2CAB">
        <w:rPr>
          <w:rFonts w:ascii="Calibri" w:hAnsi="Calibri" w:cs="Arial"/>
        </w:rPr>
        <w:t>GDPR;</w:t>
      </w:r>
      <w:proofErr w:type="gramEnd"/>
    </w:p>
    <w:p w14:paraId="6FA6D16D" w14:textId="77777777" w:rsidR="00CA159E" w:rsidRPr="001B2CAB" w:rsidRDefault="00CA159E" w:rsidP="00CA159E">
      <w:pPr>
        <w:pStyle w:val="DefinitionLevel1"/>
        <w:numPr>
          <w:ilvl w:val="0"/>
          <w:numId w:val="0"/>
        </w:numPr>
        <w:tabs>
          <w:tab w:val="left" w:pos="720"/>
        </w:tabs>
        <w:spacing w:after="0" w:line="240" w:lineRule="auto"/>
        <w:ind w:left="425"/>
        <w:rPr>
          <w:rFonts w:ascii="Calibri" w:hAnsi="Calibri" w:cs="Arial"/>
        </w:rPr>
      </w:pPr>
    </w:p>
    <w:p w14:paraId="10178B77" w14:textId="77777777" w:rsidR="00CA159E" w:rsidRPr="001B2CAB" w:rsidRDefault="00CA159E" w:rsidP="00CA159E">
      <w:pPr>
        <w:pStyle w:val="Definition"/>
        <w:numPr>
          <w:ilvl w:val="0"/>
          <w:numId w:val="17"/>
        </w:numPr>
        <w:spacing w:after="0" w:line="240" w:lineRule="auto"/>
        <w:ind w:left="426"/>
        <w:rPr>
          <w:rFonts w:ascii="Calibri" w:hAnsi="Calibri" w:cs="Arial"/>
        </w:rPr>
      </w:pPr>
      <w:bookmarkStart w:id="6" w:name="_Ref509915685"/>
      <w:r w:rsidRPr="001B2CAB">
        <w:rPr>
          <w:rFonts w:ascii="Calibri" w:hAnsi="Calibri" w:cs="Arial"/>
          <w:b/>
        </w:rPr>
        <w:t>“GDPR”</w:t>
      </w:r>
      <w:r w:rsidRPr="001B2CAB">
        <w:rPr>
          <w:rFonts w:ascii="Calibri" w:hAnsi="Calibri" w:cs="Arial"/>
        </w:rPr>
        <w:t xml:space="preserve"> means Regulation (EU) 2016/679 of the European Parliament and of the Council of 27 April </w:t>
      </w:r>
      <w:proofErr w:type="gramStart"/>
      <w:r w:rsidRPr="001B2CAB">
        <w:rPr>
          <w:rFonts w:ascii="Calibri" w:hAnsi="Calibri" w:cs="Arial"/>
        </w:rPr>
        <w:t>2016;</w:t>
      </w:r>
      <w:bookmarkEnd w:id="6"/>
      <w:proofErr w:type="gramEnd"/>
    </w:p>
    <w:p w14:paraId="724E0EE6" w14:textId="77777777" w:rsidR="00CA159E" w:rsidRPr="001B2CAB" w:rsidRDefault="00CA159E" w:rsidP="00CA159E">
      <w:pPr>
        <w:pStyle w:val="Definition"/>
        <w:numPr>
          <w:ilvl w:val="0"/>
          <w:numId w:val="0"/>
        </w:numPr>
        <w:spacing w:after="0" w:line="240" w:lineRule="auto"/>
        <w:rPr>
          <w:rFonts w:ascii="Calibri" w:hAnsi="Calibri" w:cs="Arial"/>
        </w:rPr>
      </w:pPr>
    </w:p>
    <w:p w14:paraId="379E7003" w14:textId="77777777" w:rsidR="00CA159E" w:rsidRPr="001B2CAB" w:rsidRDefault="00CA159E" w:rsidP="00CA159E">
      <w:pPr>
        <w:pStyle w:val="Definition"/>
        <w:numPr>
          <w:ilvl w:val="0"/>
          <w:numId w:val="0"/>
        </w:numPr>
        <w:spacing w:after="0" w:line="240" w:lineRule="auto"/>
        <w:ind w:left="426"/>
        <w:rPr>
          <w:rFonts w:ascii="Calibri" w:hAnsi="Calibri" w:cs="Arial"/>
        </w:rPr>
      </w:pPr>
      <w:r w:rsidRPr="001B2CAB">
        <w:rPr>
          <w:rFonts w:ascii="Calibri" w:hAnsi="Calibri" w:cs="Arial"/>
        </w:rPr>
        <w:t>“</w:t>
      </w:r>
      <w:r w:rsidRPr="001B2CAB">
        <w:rPr>
          <w:rFonts w:ascii="Calibri" w:hAnsi="Calibri" w:cs="Arial"/>
          <w:b/>
        </w:rPr>
        <w:t>Processing Party</w:t>
      </w:r>
      <w:r w:rsidRPr="001B2CAB">
        <w:rPr>
          <w:rFonts w:ascii="Calibri" w:hAnsi="Calibri" w:cs="Arial"/>
        </w:rPr>
        <w:t xml:space="preserve">” has the meaning given to it in clause </w:t>
      </w:r>
      <w:proofErr w:type="gramStart"/>
      <w:r w:rsidRPr="001B2CAB">
        <w:rPr>
          <w:rFonts w:ascii="Calibri" w:hAnsi="Calibri" w:cs="Arial"/>
          <w:color w:val="000000"/>
        </w:rPr>
        <w:t>5.1;</w:t>
      </w:r>
      <w:proofErr w:type="gramEnd"/>
      <w:r w:rsidRPr="001B2CAB">
        <w:rPr>
          <w:rFonts w:ascii="Calibri" w:hAnsi="Calibri" w:cs="Arial"/>
          <w:color w:val="000000"/>
        </w:rPr>
        <w:t xml:space="preserve"> </w:t>
      </w:r>
    </w:p>
    <w:p w14:paraId="543BF0A4" w14:textId="77777777" w:rsidR="00CA159E" w:rsidRPr="001B2CAB" w:rsidRDefault="00CA159E" w:rsidP="00CA159E">
      <w:pPr>
        <w:pStyle w:val="Definition"/>
        <w:numPr>
          <w:ilvl w:val="0"/>
          <w:numId w:val="17"/>
        </w:numPr>
        <w:spacing w:after="0" w:line="240" w:lineRule="auto"/>
        <w:ind w:left="426"/>
        <w:rPr>
          <w:rFonts w:ascii="Calibri" w:hAnsi="Calibri" w:cs="Arial"/>
        </w:rPr>
      </w:pPr>
      <w:bookmarkStart w:id="7" w:name="_Ref509915686"/>
    </w:p>
    <w:p w14:paraId="1A8B9D58" w14:textId="77777777" w:rsidR="00CA159E" w:rsidRPr="001B2CAB" w:rsidRDefault="00CA159E" w:rsidP="00CA159E">
      <w:pPr>
        <w:pStyle w:val="Definition"/>
        <w:numPr>
          <w:ilvl w:val="0"/>
          <w:numId w:val="17"/>
        </w:numPr>
        <w:spacing w:after="0" w:line="240" w:lineRule="auto"/>
        <w:ind w:left="426"/>
        <w:rPr>
          <w:rFonts w:ascii="Calibri" w:hAnsi="Calibri" w:cs="Arial"/>
        </w:rPr>
      </w:pPr>
      <w:bookmarkStart w:id="8" w:name="_Ref509915687"/>
      <w:bookmarkEnd w:id="7"/>
      <w:r w:rsidRPr="001B2CAB">
        <w:rPr>
          <w:rFonts w:ascii="Calibri" w:hAnsi="Calibri" w:cs="Arial"/>
          <w:b/>
        </w:rPr>
        <w:t>“Security Breach”</w:t>
      </w:r>
      <w:r w:rsidRPr="001B2CAB">
        <w:rPr>
          <w:rFonts w:ascii="Calibri" w:hAnsi="Calibri" w:cs="Arial"/>
        </w:rPr>
        <w:t xml:space="preserve"> means:</w:t>
      </w:r>
      <w:bookmarkEnd w:id="8"/>
    </w:p>
    <w:p w14:paraId="792003AB" w14:textId="77777777" w:rsidR="00CA159E" w:rsidRPr="001B2CAB" w:rsidRDefault="00CA159E" w:rsidP="00CA159E">
      <w:pPr>
        <w:pStyle w:val="DefinitionLevel1"/>
        <w:numPr>
          <w:ilvl w:val="1"/>
          <w:numId w:val="17"/>
        </w:numPr>
        <w:tabs>
          <w:tab w:val="num" w:pos="851"/>
        </w:tabs>
        <w:spacing w:after="0" w:line="240" w:lineRule="auto"/>
        <w:ind w:left="426" w:firstLine="0"/>
        <w:rPr>
          <w:rFonts w:ascii="Calibri" w:hAnsi="Calibri" w:cs="Arial"/>
        </w:rPr>
      </w:pPr>
      <w:bookmarkStart w:id="9" w:name="_Ref509915688"/>
      <w:r w:rsidRPr="001B2CAB">
        <w:rPr>
          <w:rFonts w:ascii="Calibri" w:hAnsi="Calibri" w:cs="Arial"/>
        </w:rPr>
        <w:t>a Personal Data Breach; and/or</w:t>
      </w:r>
      <w:bookmarkEnd w:id="9"/>
    </w:p>
    <w:p w14:paraId="5C39BAFE" w14:textId="77777777" w:rsidR="00CA159E" w:rsidRPr="001B2CAB" w:rsidRDefault="00CA159E" w:rsidP="00CA159E">
      <w:pPr>
        <w:pStyle w:val="DefinitionLevel1"/>
        <w:numPr>
          <w:ilvl w:val="1"/>
          <w:numId w:val="17"/>
        </w:numPr>
        <w:tabs>
          <w:tab w:val="num" w:pos="851"/>
        </w:tabs>
        <w:spacing w:after="0" w:line="240" w:lineRule="auto"/>
        <w:ind w:left="426" w:firstLine="0"/>
        <w:rPr>
          <w:rFonts w:ascii="Calibri" w:hAnsi="Calibri" w:cs="Arial"/>
        </w:rPr>
      </w:pPr>
      <w:bookmarkStart w:id="10" w:name="_Ref509915689"/>
      <w:r w:rsidRPr="001B2CAB">
        <w:rPr>
          <w:rFonts w:ascii="Calibri" w:hAnsi="Calibri" w:cs="Arial"/>
        </w:rPr>
        <w:t xml:space="preserve">any </w:t>
      </w:r>
      <w:proofErr w:type="spellStart"/>
      <w:r w:rsidRPr="001B2CAB">
        <w:rPr>
          <w:rFonts w:ascii="Calibri" w:hAnsi="Calibri" w:cs="Arial"/>
        </w:rPr>
        <w:t>non conformance</w:t>
      </w:r>
      <w:proofErr w:type="spellEnd"/>
      <w:r w:rsidRPr="001B2CAB">
        <w:rPr>
          <w:rFonts w:ascii="Calibri" w:hAnsi="Calibri" w:cs="Arial"/>
        </w:rPr>
        <w:t xml:space="preserve"> with the security standards set out in the </w:t>
      </w:r>
      <w:proofErr w:type="gramStart"/>
      <w:r w:rsidRPr="001B2CAB">
        <w:rPr>
          <w:rFonts w:ascii="Calibri" w:hAnsi="Calibri" w:cs="Arial"/>
        </w:rPr>
        <w:t>Agreement;</w:t>
      </w:r>
      <w:bookmarkEnd w:id="10"/>
      <w:proofErr w:type="gramEnd"/>
    </w:p>
    <w:p w14:paraId="2DC7967D" w14:textId="77777777" w:rsidR="00CA159E" w:rsidRPr="001B2CAB" w:rsidRDefault="00CA159E" w:rsidP="00CA159E">
      <w:pPr>
        <w:pStyle w:val="Definition"/>
        <w:numPr>
          <w:ilvl w:val="0"/>
          <w:numId w:val="17"/>
        </w:numPr>
        <w:spacing w:after="0" w:line="240" w:lineRule="auto"/>
        <w:ind w:left="426"/>
        <w:rPr>
          <w:rFonts w:ascii="Calibri" w:hAnsi="Calibri" w:cs="Arial"/>
        </w:rPr>
      </w:pPr>
      <w:bookmarkStart w:id="11" w:name="_Ref509915690"/>
    </w:p>
    <w:p w14:paraId="5CE508AF" w14:textId="77777777" w:rsidR="00CA159E" w:rsidRPr="001B2CAB" w:rsidRDefault="00CA159E" w:rsidP="00CA159E">
      <w:pPr>
        <w:pStyle w:val="Definition"/>
        <w:numPr>
          <w:ilvl w:val="0"/>
          <w:numId w:val="17"/>
        </w:numPr>
        <w:spacing w:after="0" w:line="240" w:lineRule="auto"/>
        <w:ind w:left="426"/>
        <w:rPr>
          <w:rFonts w:ascii="Calibri" w:hAnsi="Calibri" w:cs="Arial"/>
        </w:rPr>
      </w:pPr>
      <w:bookmarkStart w:id="12" w:name="_Ref509915691"/>
      <w:bookmarkEnd w:id="11"/>
      <w:r w:rsidRPr="001B2CAB">
        <w:rPr>
          <w:rFonts w:ascii="Calibri" w:hAnsi="Calibri" w:cs="Arial"/>
          <w:b/>
        </w:rPr>
        <w:t>“Services”</w:t>
      </w:r>
      <w:r w:rsidRPr="001B2CAB">
        <w:rPr>
          <w:rFonts w:ascii="Calibri" w:hAnsi="Calibri" w:cs="Arial"/>
        </w:rPr>
        <w:t xml:space="preserve"> mean the services and other activities carried out or supplied by the Parties under the </w:t>
      </w:r>
      <w:proofErr w:type="gramStart"/>
      <w:r w:rsidRPr="001B2CAB">
        <w:rPr>
          <w:rFonts w:ascii="Calibri" w:hAnsi="Calibri" w:cs="Arial"/>
        </w:rPr>
        <w:t>Agreement;</w:t>
      </w:r>
      <w:bookmarkEnd w:id="12"/>
      <w:proofErr w:type="gramEnd"/>
      <w:r w:rsidRPr="001B2CAB">
        <w:rPr>
          <w:rFonts w:ascii="Calibri" w:hAnsi="Calibri" w:cs="Arial"/>
        </w:rPr>
        <w:t xml:space="preserve"> </w:t>
      </w:r>
    </w:p>
    <w:p w14:paraId="598B0228" w14:textId="77777777" w:rsidR="00CA159E" w:rsidRPr="001B2CAB" w:rsidRDefault="00CA159E" w:rsidP="00CA159E">
      <w:pPr>
        <w:pStyle w:val="Definition"/>
        <w:numPr>
          <w:ilvl w:val="0"/>
          <w:numId w:val="17"/>
        </w:numPr>
        <w:spacing w:after="0" w:line="240" w:lineRule="auto"/>
        <w:ind w:left="426"/>
        <w:rPr>
          <w:rFonts w:ascii="Calibri" w:hAnsi="Calibri" w:cs="Arial"/>
        </w:rPr>
      </w:pPr>
      <w:bookmarkStart w:id="13" w:name="_Ref509915692"/>
    </w:p>
    <w:p w14:paraId="4C05DC24" w14:textId="77777777" w:rsidR="00875297" w:rsidRDefault="00CA159E" w:rsidP="00CA159E">
      <w:pPr>
        <w:pStyle w:val="Definition"/>
        <w:numPr>
          <w:ilvl w:val="0"/>
          <w:numId w:val="17"/>
        </w:numPr>
        <w:spacing w:after="0" w:line="240" w:lineRule="auto"/>
        <w:ind w:left="426"/>
        <w:rPr>
          <w:rFonts w:ascii="Calibri" w:hAnsi="Calibri" w:cs="Arial"/>
        </w:rPr>
      </w:pPr>
      <w:bookmarkStart w:id="14" w:name="_Ref509915693"/>
      <w:bookmarkEnd w:id="13"/>
      <w:r w:rsidRPr="001B2CAB">
        <w:rPr>
          <w:rFonts w:ascii="Calibri" w:hAnsi="Calibri" w:cs="Arial"/>
          <w:b/>
        </w:rPr>
        <w:t>“Sub-Processor”</w:t>
      </w:r>
      <w:r w:rsidRPr="001B2CAB">
        <w:rPr>
          <w:rFonts w:ascii="Calibri" w:hAnsi="Calibri" w:cs="Arial"/>
        </w:rPr>
        <w:t xml:space="preserve"> means any person appointed by the Parties to Process Personal Data on behalf of the other Party in relation to the </w:t>
      </w:r>
      <w:proofErr w:type="gramStart"/>
      <w:r w:rsidRPr="001B2CAB">
        <w:rPr>
          <w:rFonts w:ascii="Calibri" w:hAnsi="Calibri" w:cs="Arial"/>
        </w:rPr>
        <w:t>Agreement;</w:t>
      </w:r>
      <w:proofErr w:type="gramEnd"/>
      <w:r w:rsidRPr="001B2CAB">
        <w:rPr>
          <w:rFonts w:ascii="Calibri" w:hAnsi="Calibri" w:cs="Arial"/>
        </w:rPr>
        <w:t xml:space="preserve"> </w:t>
      </w:r>
    </w:p>
    <w:p w14:paraId="17DB3D5A" w14:textId="77777777" w:rsidR="00875297" w:rsidRDefault="00875297" w:rsidP="00875297">
      <w:pPr>
        <w:pStyle w:val="ListParagraph"/>
        <w:rPr>
          <w:rFonts w:ascii="Calibri" w:hAnsi="Calibri" w:cs="Arial"/>
        </w:rPr>
      </w:pPr>
    </w:p>
    <w:p w14:paraId="44DE978A" w14:textId="4B0CBECB" w:rsidR="00CA159E" w:rsidRPr="001B2CAB" w:rsidRDefault="00875297" w:rsidP="00CA159E">
      <w:pPr>
        <w:pStyle w:val="Definition"/>
        <w:numPr>
          <w:ilvl w:val="0"/>
          <w:numId w:val="17"/>
        </w:numPr>
        <w:spacing w:after="0" w:line="240" w:lineRule="auto"/>
        <w:ind w:left="426"/>
        <w:rPr>
          <w:rFonts w:ascii="Calibri" w:hAnsi="Calibri" w:cs="Arial"/>
        </w:rPr>
      </w:pPr>
      <w:r>
        <w:rPr>
          <w:rFonts w:ascii="Calibri" w:hAnsi="Calibri" w:cs="Arial"/>
          <w:b/>
          <w:bCs/>
        </w:rPr>
        <w:t xml:space="preserve">“UK GDPR” </w:t>
      </w:r>
      <w:r w:rsidRPr="001D52B5">
        <w:rPr>
          <w:rFonts w:asciiTheme="minorHAnsi" w:hAnsiTheme="minorHAnsi" w:cstheme="minorHAnsi"/>
        </w:rPr>
        <w:t>means the version of the GDPR as retained in UK law by the</w:t>
      </w:r>
      <w:r>
        <w:rPr>
          <w:rFonts w:asciiTheme="minorHAnsi" w:hAnsiTheme="minorHAnsi" w:cstheme="minorHAnsi"/>
        </w:rPr>
        <w:t xml:space="preserve"> </w:t>
      </w:r>
      <w:r w:rsidRPr="001D52B5">
        <w:rPr>
          <w:rFonts w:asciiTheme="minorHAnsi" w:hAnsiTheme="minorHAnsi" w:cstheme="minorHAnsi"/>
        </w:rPr>
        <w:t>European Union</w:t>
      </w:r>
      <w:r>
        <w:rPr>
          <w:rFonts w:asciiTheme="minorHAnsi" w:hAnsiTheme="minorHAnsi" w:cstheme="minorHAnsi"/>
        </w:rPr>
        <w:t xml:space="preserve"> (Withdrawal) Act 2018; </w:t>
      </w:r>
      <w:r w:rsidR="00CA159E" w:rsidRPr="001B2CAB">
        <w:rPr>
          <w:rFonts w:ascii="Calibri" w:hAnsi="Calibri" w:cs="Arial"/>
        </w:rPr>
        <w:t>and</w:t>
      </w:r>
      <w:bookmarkEnd w:id="14"/>
    </w:p>
    <w:p w14:paraId="2A686F43" w14:textId="77777777" w:rsidR="00CA159E" w:rsidRPr="001B2CAB" w:rsidRDefault="00CA159E" w:rsidP="00CA159E">
      <w:pPr>
        <w:pStyle w:val="Definition"/>
        <w:numPr>
          <w:ilvl w:val="0"/>
          <w:numId w:val="17"/>
        </w:numPr>
        <w:spacing w:after="0" w:line="240" w:lineRule="auto"/>
        <w:ind w:left="426"/>
        <w:rPr>
          <w:rFonts w:ascii="Calibri" w:hAnsi="Calibri" w:cs="Arial"/>
        </w:rPr>
      </w:pPr>
      <w:bookmarkStart w:id="15" w:name="_Ref509915694"/>
    </w:p>
    <w:p w14:paraId="038126EC" w14:textId="77777777" w:rsidR="00CA159E" w:rsidRPr="001B2CAB" w:rsidRDefault="00CA159E" w:rsidP="00CA159E">
      <w:pPr>
        <w:pStyle w:val="Definition"/>
        <w:numPr>
          <w:ilvl w:val="0"/>
          <w:numId w:val="17"/>
        </w:numPr>
        <w:spacing w:after="0" w:line="240" w:lineRule="auto"/>
        <w:ind w:left="426"/>
        <w:rPr>
          <w:rFonts w:ascii="Calibri" w:hAnsi="Calibri" w:cs="Arial"/>
        </w:rPr>
      </w:pPr>
      <w:bookmarkStart w:id="16" w:name="_Ref509915695"/>
      <w:bookmarkEnd w:id="15"/>
      <w:r w:rsidRPr="001B2CAB">
        <w:rPr>
          <w:rFonts w:ascii="Calibri" w:hAnsi="Calibri" w:cs="Arial"/>
          <w:b/>
        </w:rPr>
        <w:t>“Working Day”</w:t>
      </w:r>
      <w:r w:rsidRPr="001B2CAB">
        <w:rPr>
          <w:rFonts w:ascii="Calibri" w:hAnsi="Calibri" w:cs="Arial"/>
        </w:rPr>
        <w:t xml:space="preserve"> means any day other than Saturday, Sunday or a public holiday in the UK.</w:t>
      </w:r>
      <w:bookmarkEnd w:id="16"/>
    </w:p>
    <w:p w14:paraId="0CBEED73" w14:textId="77777777" w:rsidR="00CA159E" w:rsidRPr="001B2CAB" w:rsidRDefault="00CA159E" w:rsidP="00CA159E">
      <w:pPr>
        <w:pStyle w:val="BurnessPaullClauseNumbering2"/>
        <w:numPr>
          <w:ilvl w:val="0"/>
          <w:numId w:val="0"/>
        </w:numPr>
        <w:tabs>
          <w:tab w:val="left" w:pos="720"/>
        </w:tabs>
        <w:spacing w:after="0" w:line="240" w:lineRule="auto"/>
        <w:ind w:left="426" w:hanging="426"/>
        <w:rPr>
          <w:rFonts w:ascii="Calibri" w:hAnsi="Calibri" w:cs="Arial"/>
        </w:rPr>
      </w:pPr>
    </w:p>
    <w:p w14:paraId="13A813B8" w14:textId="77777777" w:rsidR="00CA159E" w:rsidRPr="001B2CAB" w:rsidRDefault="00CA159E" w:rsidP="00CA159E">
      <w:pPr>
        <w:pStyle w:val="BurnessPaullClauseNumbering1"/>
        <w:numPr>
          <w:ilvl w:val="0"/>
          <w:numId w:val="0"/>
        </w:numPr>
        <w:tabs>
          <w:tab w:val="left" w:pos="720"/>
        </w:tabs>
        <w:spacing w:after="0" w:line="240" w:lineRule="auto"/>
        <w:ind w:left="426" w:hanging="426"/>
        <w:rPr>
          <w:rFonts w:ascii="Calibri" w:hAnsi="Calibri" w:cs="Arial"/>
        </w:rPr>
      </w:pPr>
      <w:r w:rsidRPr="001B2CAB">
        <w:rPr>
          <w:rFonts w:ascii="Calibri" w:hAnsi="Calibri" w:cs="Arial"/>
        </w:rPr>
        <w:t>3.</w:t>
      </w:r>
      <w:r w:rsidRPr="001B2CAB">
        <w:rPr>
          <w:rFonts w:ascii="Calibri" w:hAnsi="Calibri" w:cs="Arial"/>
        </w:rPr>
        <w:tab/>
        <w:t>General Undertaking</w:t>
      </w:r>
    </w:p>
    <w:p w14:paraId="32094380" w14:textId="77777777" w:rsidR="00CA159E" w:rsidRPr="001B2CAB" w:rsidRDefault="00CA159E" w:rsidP="00CA159E">
      <w:pPr>
        <w:pStyle w:val="BurnessPaullClauseNumbering2"/>
        <w:numPr>
          <w:ilvl w:val="0"/>
          <w:numId w:val="0"/>
        </w:numPr>
        <w:tabs>
          <w:tab w:val="left" w:pos="720"/>
        </w:tabs>
        <w:spacing w:after="0" w:line="240" w:lineRule="auto"/>
        <w:ind w:left="426" w:hanging="426"/>
        <w:rPr>
          <w:rFonts w:ascii="Calibri" w:hAnsi="Calibri" w:cs="Arial"/>
        </w:rPr>
      </w:pPr>
      <w:r w:rsidRPr="001B2CAB">
        <w:rPr>
          <w:rFonts w:ascii="Calibri" w:hAnsi="Calibri" w:cs="Arial"/>
        </w:rPr>
        <w:t>3.1</w:t>
      </w:r>
      <w:r w:rsidRPr="001B2CAB">
        <w:rPr>
          <w:rFonts w:ascii="Calibri" w:hAnsi="Calibri" w:cs="Arial"/>
        </w:rPr>
        <w:tab/>
        <w:t xml:space="preserve">Notwithstanding anything to the contrary in the Agreement, the provisions of this </w:t>
      </w:r>
      <w:proofErr w:type="spellStart"/>
      <w:r w:rsidRPr="001B2CAB">
        <w:rPr>
          <w:rFonts w:ascii="Calibri" w:hAnsi="Calibri" w:cs="Arial"/>
        </w:rPr>
        <w:t>MoA</w:t>
      </w:r>
      <w:proofErr w:type="spellEnd"/>
      <w:r w:rsidRPr="001B2CAB">
        <w:rPr>
          <w:rFonts w:ascii="Calibri" w:hAnsi="Calibri" w:cs="Arial"/>
        </w:rPr>
        <w:t xml:space="preserve"> shall be legally binding on the Parties.  </w:t>
      </w:r>
    </w:p>
    <w:p w14:paraId="286F4E2F" w14:textId="77777777" w:rsidR="00CA159E" w:rsidRPr="001B2CAB" w:rsidRDefault="00CA159E" w:rsidP="00CA159E">
      <w:pPr>
        <w:pStyle w:val="BurnessPaullClauseNumbering2"/>
        <w:numPr>
          <w:ilvl w:val="0"/>
          <w:numId w:val="0"/>
        </w:numPr>
        <w:tabs>
          <w:tab w:val="left" w:pos="720"/>
        </w:tabs>
        <w:spacing w:after="0" w:line="240" w:lineRule="auto"/>
        <w:ind w:left="426" w:hanging="426"/>
        <w:rPr>
          <w:rFonts w:ascii="Calibri" w:hAnsi="Calibri" w:cs="Arial"/>
        </w:rPr>
      </w:pPr>
      <w:r w:rsidRPr="001B2CAB">
        <w:rPr>
          <w:rFonts w:ascii="Calibri" w:hAnsi="Calibri" w:cs="Arial"/>
        </w:rPr>
        <w:tab/>
        <w:t xml:space="preserve"> </w:t>
      </w:r>
    </w:p>
    <w:p w14:paraId="51171BE4" w14:textId="325ED59D" w:rsidR="00CA159E" w:rsidRPr="001B2CAB" w:rsidRDefault="00CA159E" w:rsidP="00CA159E">
      <w:pPr>
        <w:pStyle w:val="BurnessPaullClauseNumbering2"/>
        <w:numPr>
          <w:ilvl w:val="0"/>
          <w:numId w:val="0"/>
        </w:numPr>
        <w:tabs>
          <w:tab w:val="left" w:pos="720"/>
        </w:tabs>
        <w:spacing w:after="0" w:line="240" w:lineRule="auto"/>
        <w:ind w:left="426" w:hanging="426"/>
        <w:rPr>
          <w:rFonts w:ascii="Calibri" w:hAnsi="Calibri" w:cs="Arial"/>
        </w:rPr>
      </w:pPr>
      <w:bookmarkStart w:id="17" w:name="_Ref482964294"/>
      <w:bookmarkStart w:id="18" w:name="_Ref489872409"/>
      <w:r w:rsidRPr="001B2CAB">
        <w:rPr>
          <w:rFonts w:ascii="Calibri" w:hAnsi="Calibri" w:cs="Arial"/>
        </w:rPr>
        <w:t>3.2</w:t>
      </w:r>
      <w:r w:rsidRPr="001B2CAB">
        <w:rPr>
          <w:rFonts w:ascii="Calibri" w:hAnsi="Calibri" w:cs="Arial"/>
        </w:rPr>
        <w:tab/>
        <w:t xml:space="preserve">In accordance with Article 28(3) of the </w:t>
      </w:r>
      <w:r w:rsidR="00875297">
        <w:rPr>
          <w:rFonts w:ascii="Calibri" w:hAnsi="Calibri" w:cs="Arial"/>
        </w:rPr>
        <w:t xml:space="preserve">UK </w:t>
      </w:r>
      <w:r w:rsidRPr="001B2CAB">
        <w:rPr>
          <w:rFonts w:ascii="Calibri" w:hAnsi="Calibri" w:cs="Arial"/>
        </w:rPr>
        <w:t xml:space="preserve">GDPR, Annex </w:t>
      </w:r>
      <w:bookmarkStart w:id="19" w:name="DocXTextRef1"/>
      <w:r w:rsidRPr="001B2CAB">
        <w:rPr>
          <w:rFonts w:ascii="Calibri" w:hAnsi="Calibri" w:cs="Arial"/>
        </w:rPr>
        <w:t>1</w:t>
      </w:r>
      <w:bookmarkEnd w:id="19"/>
      <w:r w:rsidRPr="001B2CAB">
        <w:rPr>
          <w:rFonts w:ascii="Calibri" w:hAnsi="Calibri" w:cs="Arial"/>
        </w:rPr>
        <w:t xml:space="preserve"> hereto sets out certain information regarding the Parties’ Processing of any Personal Data in relation to the Agreement.</w:t>
      </w:r>
    </w:p>
    <w:p w14:paraId="7E95EA38" w14:textId="77777777" w:rsidR="00CA159E" w:rsidRPr="001B2CAB" w:rsidRDefault="00CA159E" w:rsidP="00CA159E">
      <w:pPr>
        <w:pStyle w:val="BurnessPaullClauseNumbering2"/>
        <w:numPr>
          <w:ilvl w:val="0"/>
          <w:numId w:val="0"/>
        </w:numPr>
        <w:tabs>
          <w:tab w:val="left" w:pos="720"/>
        </w:tabs>
        <w:spacing w:after="0" w:line="240" w:lineRule="auto"/>
        <w:ind w:left="426" w:hanging="426"/>
        <w:rPr>
          <w:rFonts w:ascii="Calibri" w:hAnsi="Calibri" w:cs="Arial"/>
        </w:rPr>
      </w:pPr>
    </w:p>
    <w:p w14:paraId="584751DD" w14:textId="77777777" w:rsidR="00CA159E" w:rsidRPr="001B2CAB" w:rsidRDefault="00CA159E" w:rsidP="00CA159E">
      <w:pPr>
        <w:pStyle w:val="BurnessPaullClauseNumbering2"/>
        <w:numPr>
          <w:ilvl w:val="0"/>
          <w:numId w:val="0"/>
        </w:numPr>
        <w:tabs>
          <w:tab w:val="left" w:pos="720"/>
        </w:tabs>
        <w:spacing w:after="0" w:line="240" w:lineRule="auto"/>
        <w:ind w:left="426" w:hanging="426"/>
        <w:rPr>
          <w:rFonts w:ascii="Calibri" w:hAnsi="Calibri" w:cs="Arial"/>
          <w:b/>
        </w:rPr>
      </w:pPr>
      <w:r w:rsidRPr="001B2CAB">
        <w:rPr>
          <w:rFonts w:ascii="Calibri" w:hAnsi="Calibri" w:cs="Arial"/>
        </w:rPr>
        <w:t xml:space="preserve">4. </w:t>
      </w:r>
      <w:r w:rsidRPr="001B2CAB">
        <w:rPr>
          <w:rFonts w:ascii="Calibri" w:hAnsi="Calibri" w:cs="Arial"/>
        </w:rPr>
        <w:tab/>
      </w:r>
      <w:r w:rsidRPr="001B2CAB">
        <w:rPr>
          <w:rFonts w:ascii="Calibri" w:hAnsi="Calibri" w:cs="Arial"/>
          <w:b/>
        </w:rPr>
        <w:t>DATA CONTROLLER OBLIGATIONS</w:t>
      </w:r>
    </w:p>
    <w:p w14:paraId="431C7E4D" w14:textId="7F6189EA" w:rsidR="00CA159E" w:rsidRPr="001B2CAB" w:rsidRDefault="00CA159E" w:rsidP="00CA159E">
      <w:pPr>
        <w:pStyle w:val="BurnessPaullClauseNumbering2"/>
        <w:numPr>
          <w:ilvl w:val="0"/>
          <w:numId w:val="0"/>
        </w:numPr>
        <w:tabs>
          <w:tab w:val="left" w:pos="720"/>
        </w:tabs>
        <w:spacing w:after="0" w:line="240" w:lineRule="auto"/>
        <w:ind w:left="426" w:hanging="426"/>
        <w:rPr>
          <w:rFonts w:ascii="Calibri" w:hAnsi="Calibri" w:cs="Arial"/>
        </w:rPr>
      </w:pPr>
      <w:r w:rsidRPr="001B2CAB">
        <w:rPr>
          <w:rFonts w:ascii="Calibri" w:hAnsi="Calibri" w:cs="Arial"/>
        </w:rPr>
        <w:t xml:space="preserve"> </w:t>
      </w:r>
      <w:r w:rsidRPr="001B2CAB">
        <w:rPr>
          <w:rFonts w:ascii="Calibri" w:hAnsi="Calibri" w:cs="Arial"/>
        </w:rPr>
        <w:tab/>
        <w:t xml:space="preserve">Each Party hereby undertakes to the other that it shall comply, when applicable, with the obligations of a Controller under the provisions of the </w:t>
      </w:r>
      <w:r w:rsidR="00875297">
        <w:rPr>
          <w:rFonts w:ascii="Calibri" w:hAnsi="Calibri" w:cs="Arial"/>
        </w:rPr>
        <w:t xml:space="preserve">UK </w:t>
      </w:r>
      <w:r w:rsidRPr="001B2CAB">
        <w:rPr>
          <w:rFonts w:ascii="Calibri" w:hAnsi="Calibri" w:cs="Arial"/>
        </w:rPr>
        <w:t xml:space="preserve">GDPR and undertakes that it will only process Personal Data as is necessary to perform its obligations under the Agreement in accordance with Data Protection Laws.  </w:t>
      </w:r>
    </w:p>
    <w:p w14:paraId="372622D8" w14:textId="77777777" w:rsidR="00CA159E" w:rsidRPr="001B2CAB" w:rsidRDefault="00CA159E" w:rsidP="00CA159E">
      <w:pPr>
        <w:pStyle w:val="BurnessPaullClauseNumbering2"/>
        <w:numPr>
          <w:ilvl w:val="0"/>
          <w:numId w:val="0"/>
        </w:numPr>
        <w:tabs>
          <w:tab w:val="left" w:pos="720"/>
        </w:tabs>
        <w:spacing w:after="0" w:line="240" w:lineRule="auto"/>
        <w:ind w:left="426" w:hanging="426"/>
        <w:rPr>
          <w:rFonts w:ascii="Calibri" w:hAnsi="Calibri" w:cs="Arial"/>
        </w:rPr>
      </w:pPr>
    </w:p>
    <w:bookmarkEnd w:id="17"/>
    <w:bookmarkEnd w:id="18"/>
    <w:p w14:paraId="4D138E43" w14:textId="77777777" w:rsidR="00CA159E" w:rsidRPr="001B2CAB" w:rsidRDefault="00CA159E" w:rsidP="00CA159E">
      <w:pPr>
        <w:pStyle w:val="BurnessPaullClauseNumbering1"/>
        <w:numPr>
          <w:ilvl w:val="0"/>
          <w:numId w:val="0"/>
        </w:numPr>
        <w:tabs>
          <w:tab w:val="left" w:pos="720"/>
        </w:tabs>
        <w:spacing w:after="0" w:line="240" w:lineRule="auto"/>
        <w:ind w:left="426" w:hanging="426"/>
        <w:rPr>
          <w:rFonts w:ascii="Calibri" w:hAnsi="Calibri" w:cs="Arial"/>
        </w:rPr>
      </w:pPr>
      <w:r w:rsidRPr="001B2CAB">
        <w:rPr>
          <w:rFonts w:ascii="Calibri" w:hAnsi="Calibri" w:cs="Arial"/>
        </w:rPr>
        <w:t>5.</w:t>
      </w:r>
      <w:r w:rsidRPr="001B2CAB">
        <w:rPr>
          <w:rFonts w:ascii="Calibri" w:hAnsi="Calibri" w:cs="Arial"/>
        </w:rPr>
        <w:tab/>
        <w:t>Data Processing Obligations</w:t>
      </w:r>
    </w:p>
    <w:p w14:paraId="0245795C" w14:textId="77777777" w:rsidR="00CA159E" w:rsidRPr="001B2CAB" w:rsidRDefault="00CA159E" w:rsidP="00CA159E">
      <w:pPr>
        <w:pStyle w:val="BurnessPaullClauseNumbering2"/>
        <w:numPr>
          <w:ilvl w:val="0"/>
          <w:numId w:val="0"/>
        </w:numPr>
        <w:tabs>
          <w:tab w:val="left" w:pos="720"/>
        </w:tabs>
        <w:spacing w:after="0" w:line="240" w:lineRule="auto"/>
        <w:ind w:left="426" w:hanging="426"/>
        <w:rPr>
          <w:rFonts w:ascii="Calibri" w:hAnsi="Calibri" w:cs="Arial"/>
        </w:rPr>
      </w:pPr>
      <w:r w:rsidRPr="001B2CAB">
        <w:rPr>
          <w:rFonts w:ascii="Calibri" w:hAnsi="Calibri" w:cs="Arial"/>
        </w:rPr>
        <w:t>5.1</w:t>
      </w:r>
      <w:r w:rsidRPr="001B2CAB">
        <w:rPr>
          <w:rFonts w:ascii="Calibri" w:hAnsi="Calibri" w:cs="Arial"/>
        </w:rPr>
        <w:tab/>
        <w:t>To the extent that each Party processes Personal Data as a Processor (the “</w:t>
      </w:r>
      <w:r w:rsidRPr="001B2CAB">
        <w:rPr>
          <w:rFonts w:ascii="Calibri" w:hAnsi="Calibri" w:cs="Arial"/>
          <w:b/>
        </w:rPr>
        <w:t>Processing Party”</w:t>
      </w:r>
      <w:r w:rsidRPr="001B2CAB">
        <w:rPr>
          <w:rFonts w:ascii="Calibri" w:hAnsi="Calibri" w:cs="Arial"/>
        </w:rPr>
        <w:t>) on behalf of the other Party (the “</w:t>
      </w:r>
      <w:r w:rsidRPr="001B2CAB">
        <w:rPr>
          <w:rFonts w:ascii="Calibri" w:hAnsi="Calibri" w:cs="Arial"/>
          <w:b/>
        </w:rPr>
        <w:t>Controller Party”</w:t>
      </w:r>
      <w:r w:rsidRPr="001B2CAB">
        <w:rPr>
          <w:rFonts w:ascii="Calibri" w:hAnsi="Calibri" w:cs="Arial"/>
        </w:rPr>
        <w:t xml:space="preserve">) in accordance with Annex </w:t>
      </w:r>
      <w:bookmarkStart w:id="20" w:name="DocXTextRef2"/>
      <w:r w:rsidRPr="001B2CAB">
        <w:rPr>
          <w:rFonts w:ascii="Calibri" w:hAnsi="Calibri" w:cs="Arial"/>
        </w:rPr>
        <w:t>1</w:t>
      </w:r>
      <w:bookmarkEnd w:id="20"/>
      <w:r w:rsidRPr="001B2CAB">
        <w:rPr>
          <w:rFonts w:ascii="Calibri" w:hAnsi="Calibri" w:cs="Arial"/>
        </w:rPr>
        <w:t xml:space="preserve"> each Party shall: </w:t>
      </w:r>
    </w:p>
    <w:p w14:paraId="3E4D69CE" w14:textId="77777777" w:rsidR="00CA159E" w:rsidRPr="001B2CAB" w:rsidRDefault="00CA159E" w:rsidP="00CA159E">
      <w:pPr>
        <w:pStyle w:val="BurnessPaullClauseNumbering3"/>
        <w:numPr>
          <w:ilvl w:val="0"/>
          <w:numId w:val="0"/>
        </w:numPr>
        <w:tabs>
          <w:tab w:val="left" w:pos="720"/>
        </w:tabs>
        <w:spacing w:after="0" w:line="240" w:lineRule="auto"/>
        <w:ind w:left="1134" w:hanging="708"/>
        <w:rPr>
          <w:rFonts w:ascii="Calibri" w:hAnsi="Calibri" w:cs="Arial"/>
        </w:rPr>
      </w:pPr>
      <w:r w:rsidRPr="001B2CAB">
        <w:rPr>
          <w:rFonts w:ascii="Calibri" w:hAnsi="Calibri" w:cs="Arial"/>
        </w:rPr>
        <w:t>5.1.1</w:t>
      </w:r>
      <w:r w:rsidRPr="001B2CAB">
        <w:rPr>
          <w:rFonts w:ascii="Calibri" w:hAnsi="Calibri" w:cs="Arial"/>
        </w:rPr>
        <w:tab/>
      </w:r>
      <w:proofErr w:type="gramStart"/>
      <w:r w:rsidRPr="001B2CAB">
        <w:rPr>
          <w:rFonts w:ascii="Calibri" w:hAnsi="Calibri" w:cs="Arial"/>
        </w:rPr>
        <w:t>at all times</w:t>
      </w:r>
      <w:proofErr w:type="gramEnd"/>
      <w:r w:rsidRPr="001B2CAB">
        <w:rPr>
          <w:rFonts w:ascii="Calibri" w:hAnsi="Calibri" w:cs="Arial"/>
        </w:rPr>
        <w:t xml:space="preserve"> comply with Controller Party’s documented instructions, subject to compliance with all applicable Data Protection Laws in relation to Processing the Controller Party’s Personal </w:t>
      </w:r>
      <w:proofErr w:type="gramStart"/>
      <w:r w:rsidRPr="001B2CAB">
        <w:rPr>
          <w:rFonts w:ascii="Calibri" w:hAnsi="Calibri" w:cs="Arial"/>
        </w:rPr>
        <w:t>Data;</w:t>
      </w:r>
      <w:proofErr w:type="gramEnd"/>
    </w:p>
    <w:p w14:paraId="3AE0E432" w14:textId="77777777" w:rsidR="00CA159E" w:rsidRPr="001B2CAB" w:rsidRDefault="00CA159E" w:rsidP="00CA159E">
      <w:pPr>
        <w:pStyle w:val="BurnessPaullClauseNumbering3"/>
        <w:numPr>
          <w:ilvl w:val="0"/>
          <w:numId w:val="0"/>
        </w:numPr>
        <w:tabs>
          <w:tab w:val="left" w:pos="720"/>
        </w:tabs>
        <w:spacing w:after="0" w:line="240" w:lineRule="auto"/>
        <w:ind w:left="1134" w:hanging="708"/>
        <w:rPr>
          <w:rFonts w:ascii="Calibri" w:hAnsi="Calibri" w:cs="Arial"/>
        </w:rPr>
      </w:pPr>
      <w:r w:rsidRPr="001B2CAB">
        <w:rPr>
          <w:rFonts w:ascii="Calibri" w:hAnsi="Calibri" w:cs="Arial"/>
        </w:rPr>
        <w:t xml:space="preserve">5.1.2 </w:t>
      </w:r>
      <w:r w:rsidRPr="001B2CAB">
        <w:rPr>
          <w:rFonts w:ascii="Calibri" w:hAnsi="Calibri" w:cs="Arial"/>
        </w:rPr>
        <w:tab/>
        <w:t xml:space="preserve">take reasonable steps to ensure that access is limited to individuals who are subject to confidentiality undertakings or professional or statutory obligations of confidentiality and who need to know/access Controller Party’s Personal Data for the purposes of fulfilling the Processing Party’s obligations under the </w:t>
      </w:r>
      <w:proofErr w:type="gramStart"/>
      <w:r w:rsidRPr="001B2CAB">
        <w:rPr>
          <w:rFonts w:ascii="Calibri" w:hAnsi="Calibri" w:cs="Arial"/>
        </w:rPr>
        <w:t>Agreement;</w:t>
      </w:r>
      <w:proofErr w:type="gramEnd"/>
      <w:r w:rsidRPr="001B2CAB">
        <w:rPr>
          <w:rFonts w:ascii="Calibri" w:hAnsi="Calibri" w:cs="Arial"/>
        </w:rPr>
        <w:t xml:space="preserve"> </w:t>
      </w:r>
    </w:p>
    <w:p w14:paraId="609F3345" w14:textId="77777777" w:rsidR="00CA159E" w:rsidRPr="001B2CAB" w:rsidRDefault="00CA159E" w:rsidP="00CA159E">
      <w:pPr>
        <w:pStyle w:val="BurnessPaullClauseNumbering3"/>
        <w:numPr>
          <w:ilvl w:val="0"/>
          <w:numId w:val="0"/>
        </w:numPr>
        <w:tabs>
          <w:tab w:val="left" w:pos="720"/>
        </w:tabs>
        <w:spacing w:after="0" w:line="240" w:lineRule="auto"/>
        <w:ind w:left="1134" w:hanging="708"/>
        <w:rPr>
          <w:rFonts w:ascii="Calibri" w:hAnsi="Calibri" w:cs="Arial"/>
        </w:rPr>
      </w:pPr>
      <w:r w:rsidRPr="001B2CAB">
        <w:rPr>
          <w:rFonts w:ascii="Calibri" w:hAnsi="Calibri" w:cs="Arial"/>
        </w:rPr>
        <w:t>5.1.3</w:t>
      </w:r>
      <w:r w:rsidRPr="001B2CAB">
        <w:rPr>
          <w:rFonts w:ascii="Calibri" w:hAnsi="Calibri" w:cs="Arial"/>
        </w:rPr>
        <w:tab/>
        <w:t>implement and maintain (and provide details of such measures at the Controller Party’s request) appropriate technical and organisational measures to ensure a level of security appropriate to the risk including but not limited to the following:</w:t>
      </w:r>
    </w:p>
    <w:p w14:paraId="567EC77D" w14:textId="77777777" w:rsidR="00CA159E" w:rsidRPr="001B2CAB" w:rsidRDefault="00CA159E" w:rsidP="00CA159E">
      <w:pPr>
        <w:pStyle w:val="BurnessPaullClauseNumbering4"/>
        <w:numPr>
          <w:ilvl w:val="3"/>
          <w:numId w:val="14"/>
        </w:numPr>
        <w:tabs>
          <w:tab w:val="left" w:pos="720"/>
        </w:tabs>
        <w:spacing w:after="0" w:line="240" w:lineRule="auto"/>
        <w:ind w:left="1560" w:hanging="426"/>
        <w:rPr>
          <w:rFonts w:ascii="Calibri" w:hAnsi="Calibri" w:cs="Arial"/>
        </w:rPr>
      </w:pPr>
      <w:bookmarkStart w:id="21" w:name="_Ref509915696"/>
      <w:r w:rsidRPr="001B2CAB">
        <w:rPr>
          <w:rFonts w:ascii="Calibri" w:hAnsi="Calibri" w:cs="Arial"/>
        </w:rPr>
        <w:t xml:space="preserve">the Pseudonymisation and encryption of Controller Party Personal </w:t>
      </w:r>
      <w:proofErr w:type="gramStart"/>
      <w:r w:rsidRPr="001B2CAB">
        <w:rPr>
          <w:rFonts w:ascii="Calibri" w:hAnsi="Calibri" w:cs="Arial"/>
        </w:rPr>
        <w:t>Data;</w:t>
      </w:r>
      <w:bookmarkEnd w:id="21"/>
      <w:proofErr w:type="gramEnd"/>
    </w:p>
    <w:p w14:paraId="58B7F60D" w14:textId="77777777" w:rsidR="00CA159E" w:rsidRPr="001B2CAB" w:rsidRDefault="00CA159E" w:rsidP="00CA159E">
      <w:pPr>
        <w:pStyle w:val="BurnessPaullClauseNumbering4"/>
        <w:numPr>
          <w:ilvl w:val="3"/>
          <w:numId w:val="14"/>
        </w:numPr>
        <w:tabs>
          <w:tab w:val="left" w:pos="720"/>
        </w:tabs>
        <w:spacing w:after="0" w:line="240" w:lineRule="auto"/>
        <w:ind w:left="1560" w:hanging="426"/>
        <w:rPr>
          <w:rFonts w:ascii="Calibri" w:hAnsi="Calibri" w:cs="Arial"/>
        </w:rPr>
      </w:pPr>
      <w:bookmarkStart w:id="22" w:name="_Ref509915697"/>
      <w:r w:rsidRPr="001B2CAB">
        <w:rPr>
          <w:rFonts w:ascii="Calibri" w:hAnsi="Calibri" w:cs="Arial"/>
        </w:rPr>
        <w:t xml:space="preserve">measure(s) to ensure the ongoing confidentiality and access to Controller Party Personal Data in a timely manner in the event of a physical or technical </w:t>
      </w:r>
      <w:proofErr w:type="gramStart"/>
      <w:r w:rsidRPr="001B2CAB">
        <w:rPr>
          <w:rFonts w:ascii="Calibri" w:hAnsi="Calibri" w:cs="Arial"/>
        </w:rPr>
        <w:t>incident;</w:t>
      </w:r>
      <w:bookmarkEnd w:id="22"/>
      <w:proofErr w:type="gramEnd"/>
    </w:p>
    <w:p w14:paraId="2467434A" w14:textId="77777777" w:rsidR="00CA159E" w:rsidRPr="001B2CAB" w:rsidRDefault="00CA159E" w:rsidP="00CA159E">
      <w:pPr>
        <w:pStyle w:val="BurnessPaullClauseNumbering4"/>
        <w:numPr>
          <w:ilvl w:val="3"/>
          <w:numId w:val="14"/>
        </w:numPr>
        <w:tabs>
          <w:tab w:val="left" w:pos="720"/>
        </w:tabs>
        <w:spacing w:after="0" w:line="240" w:lineRule="auto"/>
        <w:ind w:left="1560" w:hanging="426"/>
        <w:rPr>
          <w:rFonts w:ascii="Calibri" w:hAnsi="Calibri" w:cs="Arial"/>
        </w:rPr>
      </w:pPr>
      <w:bookmarkStart w:id="23" w:name="_Ref509915698"/>
      <w:r w:rsidRPr="001B2CAB">
        <w:rPr>
          <w:rFonts w:ascii="Calibri" w:hAnsi="Calibri" w:cs="Arial"/>
        </w:rPr>
        <w:t xml:space="preserve">measure(s) to restore the availability and access to Controller Party Personal Data in a timely manner in the event of a physical or technical </w:t>
      </w:r>
      <w:proofErr w:type="gramStart"/>
      <w:r w:rsidRPr="001B2CAB">
        <w:rPr>
          <w:rFonts w:ascii="Calibri" w:hAnsi="Calibri" w:cs="Arial"/>
        </w:rPr>
        <w:t>incident;</w:t>
      </w:r>
      <w:bookmarkEnd w:id="23"/>
      <w:proofErr w:type="gramEnd"/>
      <w:r w:rsidRPr="001B2CAB">
        <w:rPr>
          <w:rFonts w:ascii="Calibri" w:hAnsi="Calibri" w:cs="Arial"/>
        </w:rPr>
        <w:t xml:space="preserve"> </w:t>
      </w:r>
    </w:p>
    <w:p w14:paraId="288D3D4F" w14:textId="77777777" w:rsidR="00CA159E" w:rsidRPr="001B2CAB" w:rsidRDefault="00CA159E" w:rsidP="00CA159E">
      <w:pPr>
        <w:pStyle w:val="BurnessPaullClauseNumbering3"/>
        <w:numPr>
          <w:ilvl w:val="0"/>
          <w:numId w:val="0"/>
        </w:numPr>
        <w:tabs>
          <w:tab w:val="left" w:pos="720"/>
        </w:tabs>
        <w:spacing w:after="0" w:line="240" w:lineRule="auto"/>
        <w:ind w:left="1134" w:hanging="708"/>
        <w:rPr>
          <w:rFonts w:ascii="Calibri" w:hAnsi="Calibri" w:cs="Arial"/>
        </w:rPr>
      </w:pPr>
      <w:r w:rsidRPr="001B2CAB">
        <w:rPr>
          <w:rFonts w:ascii="Calibri" w:hAnsi="Calibri" w:cs="Arial"/>
        </w:rPr>
        <w:t>5.1.4</w:t>
      </w:r>
      <w:r w:rsidRPr="001B2CAB">
        <w:rPr>
          <w:rFonts w:ascii="Calibri" w:hAnsi="Calibri" w:cs="Arial"/>
        </w:rPr>
        <w:tab/>
        <w:t>assist the Controller Party by implementing and maintaining appropriate technical and organisational measures, insofar as this is possible, for the fulfilment of the Controller Party’s obligation to respond to Data Subject’s rights (including but not limited to Access Requests) under Data Protection Laws, in particular:</w:t>
      </w:r>
    </w:p>
    <w:p w14:paraId="4D75C7DB" w14:textId="77777777" w:rsidR="00CA159E" w:rsidRPr="001B2CAB" w:rsidRDefault="00CA159E" w:rsidP="00CA159E">
      <w:pPr>
        <w:pStyle w:val="BurnessPaullClauseNumbering3"/>
        <w:numPr>
          <w:ilvl w:val="0"/>
          <w:numId w:val="0"/>
        </w:numPr>
        <w:tabs>
          <w:tab w:val="left" w:pos="720"/>
        </w:tabs>
        <w:spacing w:after="0" w:line="240" w:lineRule="auto"/>
        <w:ind w:left="1560" w:hanging="426"/>
        <w:rPr>
          <w:rFonts w:ascii="Calibri" w:hAnsi="Calibri" w:cs="Arial"/>
        </w:rPr>
      </w:pPr>
      <w:r w:rsidRPr="001B2CAB">
        <w:rPr>
          <w:rFonts w:ascii="Calibri" w:hAnsi="Calibri" w:cs="Arial"/>
        </w:rPr>
        <w:t>(a)</w:t>
      </w:r>
      <w:r w:rsidRPr="001B2CAB">
        <w:rPr>
          <w:rFonts w:ascii="Calibri" w:hAnsi="Calibri" w:cs="Arial"/>
        </w:rPr>
        <w:tab/>
        <w:t xml:space="preserve">notify the Controller Party  by email to: </w:t>
      </w:r>
      <w:hyperlink r:id="rId9" w:history="1">
        <w:r w:rsidRPr="001B2CAB">
          <w:rPr>
            <w:rStyle w:val="Hyperlink"/>
            <w:rFonts w:ascii="Calibri" w:eastAsia="Calibri" w:hAnsi="Calibri"/>
            <w:b/>
          </w:rPr>
          <w:t>subject_access_request@slc.co.uk</w:t>
        </w:r>
      </w:hyperlink>
      <w:r w:rsidRPr="001B2CAB">
        <w:rPr>
          <w:rFonts w:ascii="Calibri" w:eastAsia="Calibri" w:hAnsi="Calibri"/>
        </w:rPr>
        <w:t xml:space="preserve"> </w:t>
      </w:r>
      <w:r w:rsidRPr="001B2CAB">
        <w:rPr>
          <w:rFonts w:ascii="Calibri" w:hAnsi="Calibri" w:cs="Arial"/>
        </w:rPr>
        <w:t xml:space="preserve">within 3 Working Days if the Processing Party receives an Access Request from a Data Subject whose Personal Data has been passed to them from the Controller Party and is processed by the Processing Party pursuant to the Agreement and/or this </w:t>
      </w:r>
      <w:proofErr w:type="spellStart"/>
      <w:r w:rsidRPr="001B2CAB">
        <w:rPr>
          <w:rFonts w:ascii="Calibri" w:hAnsi="Calibri" w:cs="Arial"/>
        </w:rPr>
        <w:t>MoA</w:t>
      </w:r>
      <w:proofErr w:type="spellEnd"/>
      <w:r w:rsidRPr="001B2CAB">
        <w:rPr>
          <w:rFonts w:ascii="Calibri" w:hAnsi="Calibri" w:cs="Arial"/>
        </w:rPr>
        <w:t>; and</w:t>
      </w:r>
    </w:p>
    <w:p w14:paraId="3A80F354" w14:textId="77777777" w:rsidR="00CA159E" w:rsidRPr="001B2CAB" w:rsidRDefault="00CA159E" w:rsidP="00CA159E">
      <w:pPr>
        <w:spacing w:after="0" w:line="240" w:lineRule="auto"/>
        <w:ind w:left="1559" w:hanging="425"/>
        <w:rPr>
          <w:rFonts w:cs="Arial"/>
        </w:rPr>
      </w:pPr>
      <w:r w:rsidRPr="001B2CAB">
        <w:rPr>
          <w:rFonts w:cs="Arial"/>
        </w:rPr>
        <w:lastRenderedPageBreak/>
        <w:t xml:space="preserve">(b)  in relation to any Access Request received by the Controller Party and shall agree in writing the approach for the secure transfer of any Personal Data relevant to the Data Subject and Access Request, prior to the </w:t>
      </w:r>
      <w:proofErr w:type="gramStart"/>
      <w:r w:rsidRPr="001B2CAB">
        <w:rPr>
          <w:rFonts w:cs="Arial"/>
        </w:rPr>
        <w:t>aforementioned transfer</w:t>
      </w:r>
      <w:proofErr w:type="gramEnd"/>
      <w:r w:rsidRPr="001B2CAB">
        <w:rPr>
          <w:rFonts w:cs="Arial"/>
        </w:rPr>
        <w:t xml:space="preserve"> taking place as soon as possible and in any event within </w:t>
      </w:r>
      <w:bookmarkStart w:id="24" w:name="DocXTextRef67"/>
      <w:r w:rsidRPr="001B2CAB">
        <w:rPr>
          <w:rFonts w:cs="Arial"/>
          <w:color w:val="000000"/>
        </w:rPr>
        <w:t>5</w:t>
      </w:r>
      <w:bookmarkEnd w:id="24"/>
      <w:r w:rsidRPr="001B2CAB">
        <w:rPr>
          <w:rFonts w:cs="Arial"/>
        </w:rPr>
        <w:t xml:space="preserve"> Working Days of any request from the Controller Party </w:t>
      </w:r>
    </w:p>
    <w:p w14:paraId="00039E08" w14:textId="77777777" w:rsidR="00CA159E" w:rsidRPr="001B2CAB" w:rsidRDefault="00CA159E" w:rsidP="00CA159E">
      <w:pPr>
        <w:pStyle w:val="BurnessPaullClauseNumbering3"/>
        <w:numPr>
          <w:ilvl w:val="0"/>
          <w:numId w:val="0"/>
        </w:numPr>
        <w:tabs>
          <w:tab w:val="left" w:pos="720"/>
        </w:tabs>
        <w:spacing w:after="0" w:line="240" w:lineRule="auto"/>
        <w:ind w:left="1134" w:hanging="708"/>
        <w:rPr>
          <w:rFonts w:ascii="Calibri" w:hAnsi="Calibri" w:cs="Arial"/>
        </w:rPr>
      </w:pPr>
      <w:r w:rsidRPr="001B2CAB">
        <w:rPr>
          <w:rFonts w:ascii="Calibri" w:hAnsi="Calibri" w:cs="Arial"/>
        </w:rPr>
        <w:t>5.1.5</w:t>
      </w:r>
      <w:r w:rsidRPr="001B2CAB">
        <w:rPr>
          <w:rFonts w:ascii="Calibri" w:hAnsi="Calibri" w:cs="Arial"/>
        </w:rPr>
        <w:tab/>
        <w:t>assist the Controller Party to ensure compliance with obligations under the Data Protection Laws including but not limited to:</w:t>
      </w:r>
    </w:p>
    <w:p w14:paraId="25D25B72" w14:textId="5F96EB82" w:rsidR="00CA159E" w:rsidRPr="001B2CAB" w:rsidRDefault="00CA159E" w:rsidP="00CA159E">
      <w:pPr>
        <w:pStyle w:val="BurnessPaullClauseNumbering4"/>
        <w:numPr>
          <w:ilvl w:val="0"/>
          <w:numId w:val="0"/>
        </w:numPr>
        <w:tabs>
          <w:tab w:val="left" w:pos="720"/>
        </w:tabs>
        <w:spacing w:after="0" w:line="240" w:lineRule="auto"/>
        <w:ind w:left="1560" w:hanging="426"/>
        <w:rPr>
          <w:rFonts w:ascii="Calibri" w:hAnsi="Calibri" w:cs="Arial"/>
        </w:rPr>
      </w:pPr>
      <w:r w:rsidRPr="001B2CAB">
        <w:rPr>
          <w:rFonts w:ascii="Calibri" w:hAnsi="Calibri" w:cs="Arial"/>
        </w:rPr>
        <w:t>(a)</w:t>
      </w:r>
      <w:r w:rsidRPr="001B2CAB">
        <w:rPr>
          <w:rFonts w:ascii="Calibri" w:hAnsi="Calibri" w:cs="Arial"/>
        </w:rPr>
        <w:tab/>
        <w:t xml:space="preserve">the security of Processing pursuant to </w:t>
      </w:r>
      <w:bookmarkStart w:id="25" w:name="DocXTextRef3"/>
      <w:r w:rsidRPr="001B2CAB">
        <w:rPr>
          <w:rFonts w:ascii="Calibri" w:hAnsi="Calibri" w:cs="Arial"/>
        </w:rPr>
        <w:t>Article 32</w:t>
      </w:r>
      <w:bookmarkEnd w:id="25"/>
      <w:r w:rsidRPr="001B2CAB">
        <w:rPr>
          <w:rFonts w:ascii="Calibri" w:hAnsi="Calibri" w:cs="Arial"/>
        </w:rPr>
        <w:t xml:space="preserve"> of the </w:t>
      </w:r>
      <w:r w:rsidR="00875297">
        <w:rPr>
          <w:rFonts w:ascii="Calibri" w:hAnsi="Calibri" w:cs="Arial"/>
        </w:rPr>
        <w:t xml:space="preserve">UK </w:t>
      </w:r>
      <w:proofErr w:type="gramStart"/>
      <w:r w:rsidRPr="001B2CAB">
        <w:rPr>
          <w:rFonts w:ascii="Calibri" w:hAnsi="Calibri" w:cs="Arial"/>
        </w:rPr>
        <w:t>GDPR;</w:t>
      </w:r>
      <w:proofErr w:type="gramEnd"/>
    </w:p>
    <w:p w14:paraId="120AE349" w14:textId="57FE1280" w:rsidR="00CA159E" w:rsidRPr="001B2CAB" w:rsidRDefault="00CA159E" w:rsidP="00CA159E">
      <w:pPr>
        <w:pStyle w:val="BurnessPaullClauseNumbering4"/>
        <w:numPr>
          <w:ilvl w:val="3"/>
          <w:numId w:val="21"/>
        </w:numPr>
        <w:tabs>
          <w:tab w:val="left" w:pos="720"/>
        </w:tabs>
        <w:spacing w:after="0" w:line="240" w:lineRule="auto"/>
        <w:ind w:left="1560" w:hanging="426"/>
        <w:rPr>
          <w:rFonts w:ascii="Calibri" w:hAnsi="Calibri" w:cs="Arial"/>
        </w:rPr>
      </w:pPr>
      <w:bookmarkStart w:id="26" w:name="_Ref509915699"/>
      <w:r w:rsidRPr="001B2CAB">
        <w:rPr>
          <w:rFonts w:ascii="Calibri" w:hAnsi="Calibri" w:cs="Arial"/>
        </w:rPr>
        <w:t xml:space="preserve">notification of a Personal Data Breach to the Supervisory Authority pursuant to </w:t>
      </w:r>
      <w:bookmarkStart w:id="27" w:name="DocXTextRef4"/>
      <w:r w:rsidRPr="001B2CAB">
        <w:rPr>
          <w:rFonts w:ascii="Calibri" w:hAnsi="Calibri" w:cs="Arial"/>
        </w:rPr>
        <w:t>Article 33</w:t>
      </w:r>
      <w:bookmarkEnd w:id="27"/>
      <w:r w:rsidRPr="001B2CAB">
        <w:rPr>
          <w:rFonts w:ascii="Calibri" w:hAnsi="Calibri" w:cs="Arial"/>
        </w:rPr>
        <w:t xml:space="preserve"> of the </w:t>
      </w:r>
      <w:r w:rsidR="00875297">
        <w:rPr>
          <w:rFonts w:ascii="Calibri" w:hAnsi="Calibri" w:cs="Arial"/>
        </w:rPr>
        <w:t xml:space="preserve">UK </w:t>
      </w:r>
      <w:proofErr w:type="gramStart"/>
      <w:r w:rsidRPr="001B2CAB">
        <w:rPr>
          <w:rFonts w:ascii="Calibri" w:hAnsi="Calibri" w:cs="Arial"/>
        </w:rPr>
        <w:t>GDPR;</w:t>
      </w:r>
      <w:bookmarkEnd w:id="26"/>
      <w:proofErr w:type="gramEnd"/>
    </w:p>
    <w:p w14:paraId="46BE11AB" w14:textId="6B024D8C" w:rsidR="00CA159E" w:rsidRPr="001B2CAB" w:rsidRDefault="00CA159E" w:rsidP="00CA159E">
      <w:pPr>
        <w:pStyle w:val="BurnessPaullClauseNumbering4"/>
        <w:numPr>
          <w:ilvl w:val="3"/>
          <w:numId w:val="14"/>
        </w:numPr>
        <w:tabs>
          <w:tab w:val="left" w:pos="720"/>
        </w:tabs>
        <w:spacing w:after="0" w:line="240" w:lineRule="auto"/>
        <w:ind w:left="1560" w:hanging="426"/>
        <w:rPr>
          <w:rFonts w:ascii="Calibri" w:hAnsi="Calibri" w:cs="Arial"/>
        </w:rPr>
      </w:pPr>
      <w:bookmarkStart w:id="28" w:name="_Ref509915700"/>
      <w:r w:rsidRPr="001B2CAB">
        <w:rPr>
          <w:rFonts w:ascii="Calibri" w:hAnsi="Calibri" w:cs="Arial"/>
        </w:rPr>
        <w:t xml:space="preserve">communication of a Personal Data Breach to the Data Subject pursuant to </w:t>
      </w:r>
      <w:bookmarkStart w:id="29" w:name="DocXTextRef5"/>
      <w:r w:rsidRPr="001B2CAB">
        <w:rPr>
          <w:rFonts w:ascii="Calibri" w:hAnsi="Calibri" w:cs="Arial"/>
        </w:rPr>
        <w:t>Article 34</w:t>
      </w:r>
      <w:bookmarkEnd w:id="29"/>
      <w:r w:rsidRPr="001B2CAB">
        <w:rPr>
          <w:rFonts w:ascii="Calibri" w:hAnsi="Calibri" w:cs="Arial"/>
        </w:rPr>
        <w:t xml:space="preserve"> of the </w:t>
      </w:r>
      <w:r w:rsidR="00875297">
        <w:rPr>
          <w:rFonts w:ascii="Calibri" w:hAnsi="Calibri" w:cs="Arial"/>
        </w:rPr>
        <w:t xml:space="preserve">UK </w:t>
      </w:r>
      <w:r w:rsidRPr="001B2CAB">
        <w:rPr>
          <w:rFonts w:ascii="Calibri" w:hAnsi="Calibri" w:cs="Arial"/>
        </w:rPr>
        <w:t>GDPR; and</w:t>
      </w:r>
      <w:bookmarkEnd w:id="28"/>
    </w:p>
    <w:p w14:paraId="04B89A6A" w14:textId="2D684D0E" w:rsidR="00CA159E" w:rsidRPr="001B2CAB" w:rsidRDefault="00CA159E" w:rsidP="00CA159E">
      <w:pPr>
        <w:pStyle w:val="BurnessPaullClauseNumbering4"/>
        <w:numPr>
          <w:ilvl w:val="3"/>
          <w:numId w:val="14"/>
        </w:numPr>
        <w:tabs>
          <w:tab w:val="left" w:pos="720"/>
        </w:tabs>
        <w:spacing w:after="0" w:line="240" w:lineRule="auto"/>
        <w:ind w:left="1560" w:hanging="426"/>
        <w:rPr>
          <w:rFonts w:ascii="Calibri" w:hAnsi="Calibri" w:cs="Arial"/>
        </w:rPr>
      </w:pPr>
      <w:bookmarkStart w:id="30" w:name="_Ref509915701"/>
      <w:r w:rsidRPr="001B2CAB">
        <w:rPr>
          <w:rFonts w:ascii="Calibri" w:hAnsi="Calibri" w:cs="Arial"/>
        </w:rPr>
        <w:t xml:space="preserve">data protection impact assessments, including prior consultation with Data Subjects and the Supervisory Authority, which the Controller Party reasonably considers to be required pursuant to </w:t>
      </w:r>
      <w:bookmarkStart w:id="31" w:name="DocXTextRef6"/>
      <w:r w:rsidRPr="001B2CAB">
        <w:rPr>
          <w:rFonts w:ascii="Calibri" w:hAnsi="Calibri" w:cs="Arial"/>
        </w:rPr>
        <w:t>Articles 35</w:t>
      </w:r>
      <w:bookmarkEnd w:id="31"/>
      <w:r w:rsidRPr="001B2CAB">
        <w:rPr>
          <w:rFonts w:ascii="Calibri" w:hAnsi="Calibri" w:cs="Arial"/>
        </w:rPr>
        <w:t xml:space="preserve"> and </w:t>
      </w:r>
      <w:bookmarkStart w:id="32" w:name="DocXTextRef7"/>
      <w:r w:rsidRPr="001B2CAB">
        <w:rPr>
          <w:rFonts w:ascii="Calibri" w:hAnsi="Calibri" w:cs="Arial"/>
        </w:rPr>
        <w:t>36</w:t>
      </w:r>
      <w:bookmarkEnd w:id="32"/>
      <w:r w:rsidRPr="001B2CAB">
        <w:rPr>
          <w:rFonts w:ascii="Calibri" w:hAnsi="Calibri" w:cs="Arial"/>
        </w:rPr>
        <w:t xml:space="preserve"> of the </w:t>
      </w:r>
      <w:r w:rsidR="00875297">
        <w:rPr>
          <w:rFonts w:ascii="Calibri" w:hAnsi="Calibri" w:cs="Arial"/>
        </w:rPr>
        <w:t xml:space="preserve">UK </w:t>
      </w:r>
      <w:proofErr w:type="gramStart"/>
      <w:r w:rsidRPr="001B2CAB">
        <w:rPr>
          <w:rFonts w:ascii="Calibri" w:hAnsi="Calibri" w:cs="Arial"/>
        </w:rPr>
        <w:t>GDPR;</w:t>
      </w:r>
      <w:bookmarkEnd w:id="30"/>
      <w:proofErr w:type="gramEnd"/>
    </w:p>
    <w:p w14:paraId="390882AA" w14:textId="77777777" w:rsidR="00CA159E" w:rsidRPr="001B2CAB" w:rsidRDefault="00CA159E" w:rsidP="00CA159E">
      <w:pPr>
        <w:pStyle w:val="BurnessPaullClauseNumbering3"/>
        <w:numPr>
          <w:ilvl w:val="0"/>
          <w:numId w:val="0"/>
        </w:numPr>
        <w:tabs>
          <w:tab w:val="left" w:pos="720"/>
        </w:tabs>
        <w:spacing w:after="0" w:line="240" w:lineRule="auto"/>
        <w:ind w:left="1134" w:hanging="708"/>
        <w:rPr>
          <w:rFonts w:ascii="Calibri" w:hAnsi="Calibri" w:cs="Arial"/>
        </w:rPr>
      </w:pPr>
      <w:r w:rsidRPr="001B2CAB">
        <w:rPr>
          <w:rFonts w:ascii="Calibri" w:hAnsi="Calibri" w:cs="Arial"/>
        </w:rPr>
        <w:t>5.1.6</w:t>
      </w:r>
      <w:r w:rsidRPr="001B2CAB">
        <w:rPr>
          <w:rFonts w:ascii="Calibri" w:hAnsi="Calibri" w:cs="Arial"/>
        </w:rPr>
        <w:tab/>
        <w:t xml:space="preserve">within fourteen </w:t>
      </w:r>
      <w:bookmarkStart w:id="33" w:name="DocXTextRef8"/>
      <w:r w:rsidRPr="001B2CAB">
        <w:rPr>
          <w:rFonts w:ascii="Calibri" w:hAnsi="Calibri" w:cs="Arial"/>
        </w:rPr>
        <w:t>(14)</w:t>
      </w:r>
      <w:bookmarkEnd w:id="33"/>
      <w:r w:rsidRPr="001B2CAB">
        <w:rPr>
          <w:rFonts w:ascii="Calibri" w:hAnsi="Calibri" w:cs="Arial"/>
        </w:rPr>
        <w:t xml:space="preserve"> Working Days after the end of the provision of Services, or as directed by the Controller Party at any time:</w:t>
      </w:r>
    </w:p>
    <w:p w14:paraId="16898967" w14:textId="77777777" w:rsidR="00CA159E" w:rsidRPr="001B2CAB" w:rsidRDefault="00CA159E" w:rsidP="00CA159E">
      <w:pPr>
        <w:pStyle w:val="BurnessPaullClauseNumbering4"/>
        <w:numPr>
          <w:ilvl w:val="0"/>
          <w:numId w:val="0"/>
        </w:numPr>
        <w:tabs>
          <w:tab w:val="left" w:pos="720"/>
        </w:tabs>
        <w:spacing w:after="0" w:line="240" w:lineRule="auto"/>
        <w:ind w:left="1560" w:hanging="426"/>
        <w:rPr>
          <w:rFonts w:ascii="Calibri" w:hAnsi="Calibri" w:cs="Arial"/>
        </w:rPr>
      </w:pPr>
      <w:r w:rsidRPr="001B2CAB">
        <w:rPr>
          <w:rFonts w:ascii="Calibri" w:hAnsi="Calibri" w:cs="Arial"/>
        </w:rPr>
        <w:t>(a)</w:t>
      </w:r>
      <w:r w:rsidRPr="001B2CAB">
        <w:rPr>
          <w:rFonts w:ascii="Calibri" w:hAnsi="Calibri" w:cs="Arial"/>
        </w:rPr>
        <w:tab/>
        <w:t xml:space="preserve">at the Controller Party’s discretion, </w:t>
      </w:r>
      <w:bookmarkStart w:id="34" w:name="DocXTextRef9"/>
      <w:r w:rsidRPr="001B2CAB">
        <w:rPr>
          <w:rFonts w:ascii="Calibri" w:hAnsi="Calibri" w:cs="Arial"/>
        </w:rPr>
        <w:t>(</w:t>
      </w:r>
      <w:proofErr w:type="spellStart"/>
      <w:r w:rsidRPr="001B2CAB">
        <w:rPr>
          <w:rFonts w:ascii="Calibri" w:hAnsi="Calibri" w:cs="Arial"/>
        </w:rPr>
        <w:t>i</w:t>
      </w:r>
      <w:proofErr w:type="spellEnd"/>
      <w:r w:rsidRPr="001B2CAB">
        <w:rPr>
          <w:rFonts w:ascii="Calibri" w:hAnsi="Calibri" w:cs="Arial"/>
        </w:rPr>
        <w:t>)</w:t>
      </w:r>
      <w:bookmarkEnd w:id="34"/>
      <w:r w:rsidRPr="001B2CAB">
        <w:rPr>
          <w:rFonts w:ascii="Calibri" w:hAnsi="Calibri" w:cs="Arial"/>
        </w:rPr>
        <w:t xml:space="preserve"> delete or (ii) return by secure transfer to the Controller Party (in such format as notified by the Controller Party) </w:t>
      </w:r>
      <w:proofErr w:type="gramStart"/>
      <w:r w:rsidRPr="001B2CAB">
        <w:rPr>
          <w:rFonts w:ascii="Calibri" w:hAnsi="Calibri" w:cs="Arial"/>
        </w:rPr>
        <w:t>all of</w:t>
      </w:r>
      <w:proofErr w:type="gramEnd"/>
      <w:r w:rsidRPr="001B2CAB">
        <w:rPr>
          <w:rFonts w:ascii="Calibri" w:hAnsi="Calibri" w:cs="Arial"/>
        </w:rPr>
        <w:t xml:space="preserve"> the Controller Party’s Personal Data; and </w:t>
      </w:r>
    </w:p>
    <w:p w14:paraId="3568FF7F" w14:textId="77777777" w:rsidR="00CA159E" w:rsidRPr="001B2CAB" w:rsidRDefault="00CA159E" w:rsidP="00CA159E">
      <w:pPr>
        <w:pStyle w:val="BurnessPaullClauseNumbering4"/>
        <w:numPr>
          <w:ilvl w:val="0"/>
          <w:numId w:val="0"/>
        </w:numPr>
        <w:tabs>
          <w:tab w:val="left" w:pos="720"/>
        </w:tabs>
        <w:spacing w:after="0" w:line="240" w:lineRule="auto"/>
        <w:ind w:left="1560" w:hanging="426"/>
        <w:rPr>
          <w:rFonts w:ascii="Calibri" w:hAnsi="Calibri" w:cs="Arial"/>
        </w:rPr>
      </w:pPr>
      <w:r w:rsidRPr="001B2CAB">
        <w:rPr>
          <w:rFonts w:ascii="Calibri" w:hAnsi="Calibri" w:cs="Arial"/>
        </w:rPr>
        <w:t>(b)</w:t>
      </w:r>
      <w:r w:rsidRPr="001B2CAB">
        <w:rPr>
          <w:rFonts w:ascii="Calibri" w:hAnsi="Calibri" w:cs="Arial"/>
        </w:rPr>
        <w:tab/>
        <w:t xml:space="preserve">delete existing copies of all Controller Party’s Personal Data subject to compliance with Data Protection Laws and always provided that the Processing Party shall ensure the security and confidentiality of all such Personal Data, </w:t>
      </w:r>
    </w:p>
    <w:p w14:paraId="181E8521" w14:textId="77777777" w:rsidR="00CA159E" w:rsidRPr="001B2CAB" w:rsidRDefault="00CA159E" w:rsidP="00CA159E">
      <w:pPr>
        <w:pStyle w:val="BodyText3"/>
        <w:spacing w:after="0" w:line="240" w:lineRule="auto"/>
        <w:ind w:hanging="567"/>
        <w:rPr>
          <w:rFonts w:ascii="Calibri" w:hAnsi="Calibri" w:cs="Arial"/>
        </w:rPr>
      </w:pPr>
      <w:r w:rsidRPr="001B2CAB">
        <w:rPr>
          <w:rFonts w:ascii="Calibri" w:hAnsi="Calibri" w:cs="Arial"/>
        </w:rPr>
        <w:t>and provide evidence of the same to the Controller Party on request; and</w:t>
      </w:r>
    </w:p>
    <w:p w14:paraId="65E5FC3B" w14:textId="77777777" w:rsidR="00CA159E" w:rsidRPr="001B2CAB" w:rsidRDefault="00CA159E" w:rsidP="00CA159E">
      <w:pPr>
        <w:pStyle w:val="BurnessPaullClauseNumbering3"/>
        <w:numPr>
          <w:ilvl w:val="0"/>
          <w:numId w:val="0"/>
        </w:numPr>
        <w:tabs>
          <w:tab w:val="left" w:pos="720"/>
        </w:tabs>
        <w:spacing w:after="0" w:line="240" w:lineRule="auto"/>
        <w:ind w:left="1134" w:hanging="708"/>
        <w:rPr>
          <w:rFonts w:ascii="Calibri" w:hAnsi="Calibri" w:cs="Arial"/>
        </w:rPr>
      </w:pPr>
      <w:r w:rsidRPr="001B2CAB">
        <w:rPr>
          <w:rFonts w:ascii="Calibri" w:hAnsi="Calibri" w:cs="Arial"/>
        </w:rPr>
        <w:t>5.1.7</w:t>
      </w:r>
      <w:r w:rsidRPr="001B2CAB">
        <w:rPr>
          <w:rFonts w:ascii="Calibri" w:hAnsi="Calibri" w:cs="Arial"/>
        </w:rPr>
        <w:tab/>
        <w:t>immediately inform the Controller Party if, in its opinion, an instruction infringes or conflicts with Data Protection Laws and shall not commence such Processing until it has received confirmed instructions from the Controller Party.</w:t>
      </w:r>
    </w:p>
    <w:p w14:paraId="430A5AF2" w14:textId="77777777" w:rsidR="00CA159E" w:rsidRPr="001B2CAB" w:rsidRDefault="00CA159E" w:rsidP="00CA159E">
      <w:pPr>
        <w:pStyle w:val="BurnessPaullClauseNumbering3"/>
        <w:numPr>
          <w:ilvl w:val="0"/>
          <w:numId w:val="0"/>
        </w:numPr>
        <w:tabs>
          <w:tab w:val="left" w:pos="720"/>
        </w:tabs>
        <w:spacing w:after="0" w:line="240" w:lineRule="auto"/>
        <w:ind w:left="1134" w:hanging="708"/>
        <w:rPr>
          <w:rFonts w:ascii="Calibri" w:hAnsi="Calibri" w:cs="Arial"/>
        </w:rPr>
      </w:pPr>
    </w:p>
    <w:p w14:paraId="407033BF" w14:textId="1F974E17" w:rsidR="006A7473" w:rsidRDefault="006A7473" w:rsidP="00CA159E">
      <w:pPr>
        <w:pStyle w:val="BurnessPaullClauseNumbering1"/>
        <w:numPr>
          <w:ilvl w:val="0"/>
          <w:numId w:val="22"/>
        </w:numPr>
        <w:tabs>
          <w:tab w:val="left" w:pos="720"/>
        </w:tabs>
        <w:spacing w:after="0" w:line="240" w:lineRule="auto"/>
        <w:ind w:left="360"/>
        <w:rPr>
          <w:rFonts w:ascii="Calibri" w:hAnsi="Calibri" w:cs="Arial"/>
        </w:rPr>
      </w:pPr>
      <w:bookmarkStart w:id="35" w:name="_Ref509915702"/>
      <w:r>
        <w:rPr>
          <w:rFonts w:ascii="Calibri" w:hAnsi="Calibri" w:cs="Arial"/>
        </w:rPr>
        <w:t>CYBER SECURITY INCIDENT</w:t>
      </w:r>
    </w:p>
    <w:p w14:paraId="0D2EE66C" w14:textId="3EECE4B2" w:rsidR="006A7473" w:rsidRPr="00EE144C" w:rsidRDefault="006A7473" w:rsidP="006A7473">
      <w:pPr>
        <w:pStyle w:val="BurnessPaullClauseNumbering2"/>
        <w:numPr>
          <w:ilvl w:val="0"/>
          <w:numId w:val="0"/>
        </w:numPr>
        <w:ind w:left="360"/>
        <w:rPr>
          <w:rFonts w:asciiTheme="minorHAnsi" w:hAnsiTheme="minorHAnsi" w:cstheme="minorHAnsi"/>
        </w:rPr>
      </w:pPr>
      <w:r w:rsidRPr="00EE144C">
        <w:rPr>
          <w:rFonts w:asciiTheme="minorHAnsi" w:hAnsiTheme="minorHAnsi" w:cstheme="minorHAnsi"/>
        </w:rPr>
        <w:t xml:space="preserve">The Processing Party shall notify the Controller Party via their allocated Account Manager by telephone immediately and in any event within </w:t>
      </w:r>
      <w:r w:rsidR="00414E87" w:rsidRPr="00EE144C">
        <w:rPr>
          <w:rFonts w:asciiTheme="minorHAnsi" w:hAnsiTheme="minorHAnsi" w:cstheme="minorHAnsi"/>
        </w:rPr>
        <w:t>24 hours after becoming aware of a Cyber Security Incident that has been suspected or confirmed to impact the Processing Party’s systems, irrespective of whether the Cyber Security Incident is known to affect the Controller Party’s Personal Data.</w:t>
      </w:r>
    </w:p>
    <w:p w14:paraId="7F4FC4E3" w14:textId="62A3C959" w:rsidR="00CA159E" w:rsidRPr="001B2CAB" w:rsidRDefault="00CA159E" w:rsidP="00CA159E">
      <w:pPr>
        <w:pStyle w:val="BurnessPaullClauseNumbering1"/>
        <w:numPr>
          <w:ilvl w:val="0"/>
          <w:numId w:val="22"/>
        </w:numPr>
        <w:tabs>
          <w:tab w:val="left" w:pos="720"/>
        </w:tabs>
        <w:spacing w:after="0" w:line="240" w:lineRule="auto"/>
        <w:ind w:left="360"/>
        <w:rPr>
          <w:rFonts w:ascii="Calibri" w:hAnsi="Calibri" w:cs="Arial"/>
        </w:rPr>
      </w:pPr>
      <w:r w:rsidRPr="001B2CAB">
        <w:rPr>
          <w:rFonts w:ascii="Calibri" w:hAnsi="Calibri" w:cs="Arial"/>
        </w:rPr>
        <w:t>Personal Data Breach</w:t>
      </w:r>
      <w:bookmarkEnd w:id="35"/>
    </w:p>
    <w:p w14:paraId="3241238A" w14:textId="77777777" w:rsidR="00CA159E" w:rsidRPr="001B2CAB" w:rsidRDefault="00CA159E" w:rsidP="00CA159E">
      <w:pPr>
        <w:pStyle w:val="BurnessPaullClauseNumbering2"/>
        <w:numPr>
          <w:ilvl w:val="1"/>
          <w:numId w:val="22"/>
        </w:numPr>
        <w:tabs>
          <w:tab w:val="left" w:pos="720"/>
        </w:tabs>
        <w:spacing w:after="0" w:line="240" w:lineRule="auto"/>
        <w:ind w:left="426" w:hanging="426"/>
        <w:rPr>
          <w:rFonts w:ascii="Calibri" w:hAnsi="Calibri" w:cs="Arial"/>
        </w:rPr>
      </w:pPr>
      <w:bookmarkStart w:id="36" w:name="_Ref509915703"/>
      <w:bookmarkStart w:id="37" w:name="_Ref485905870"/>
      <w:r w:rsidRPr="001B2CAB">
        <w:rPr>
          <w:rFonts w:ascii="Calibri" w:hAnsi="Calibri" w:cs="Arial"/>
        </w:rPr>
        <w:t>The Processing Party shall notify the Controller Party’s Data Protection Officer by telephone on:</w:t>
      </w:r>
      <w:bookmarkEnd w:id="36"/>
    </w:p>
    <w:p w14:paraId="07FD2E57" w14:textId="77777777" w:rsidR="00CA159E" w:rsidRPr="001B2CAB" w:rsidRDefault="00CA159E" w:rsidP="00CA159E">
      <w:pPr>
        <w:pStyle w:val="BurnessPaullClauseNumbering2"/>
        <w:numPr>
          <w:ilvl w:val="2"/>
          <w:numId w:val="22"/>
        </w:numPr>
        <w:tabs>
          <w:tab w:val="left" w:pos="720"/>
        </w:tabs>
        <w:spacing w:after="0" w:line="240" w:lineRule="auto"/>
        <w:rPr>
          <w:rFonts w:ascii="Calibri" w:hAnsi="Calibri" w:cs="Arial"/>
        </w:rPr>
      </w:pPr>
      <w:bookmarkStart w:id="38" w:name="_Ref509915704"/>
      <w:r w:rsidRPr="001B2CAB">
        <w:rPr>
          <w:rFonts w:ascii="Calibri" w:hAnsi="Calibri" w:cs="Arial"/>
        </w:rPr>
        <w:t xml:space="preserve">SLC Details: 0141 243 3012 and email at: </w:t>
      </w:r>
      <w:hyperlink r:id="rId10" w:history="1">
        <w:r w:rsidRPr="001B2CAB">
          <w:rPr>
            <w:rStyle w:val="Hyperlink"/>
            <w:rFonts w:ascii="Calibri" w:eastAsia="Calibri" w:hAnsi="Calibri" w:cs="Helv"/>
            <w:b/>
          </w:rPr>
          <w:t>NOC_Operations@slc.co.uk</w:t>
        </w:r>
      </w:hyperlink>
      <w:r w:rsidRPr="001B2CAB">
        <w:rPr>
          <w:rFonts w:ascii="Calibri" w:eastAsia="Calibri" w:hAnsi="Calibri" w:cs="Helv"/>
          <w:b/>
          <w:color w:val="0000FF"/>
        </w:rPr>
        <w:t xml:space="preserve">; </w:t>
      </w:r>
      <w:r w:rsidRPr="001B2CAB">
        <w:rPr>
          <w:rFonts w:ascii="Calibri" w:eastAsia="Calibri" w:hAnsi="Calibri" w:cs="Helv"/>
        </w:rPr>
        <w:t>or</w:t>
      </w:r>
      <w:bookmarkEnd w:id="38"/>
    </w:p>
    <w:p w14:paraId="16E784D8" w14:textId="77777777" w:rsidR="00CA159E" w:rsidRPr="001B2CAB" w:rsidRDefault="00CA159E" w:rsidP="00CA159E">
      <w:pPr>
        <w:pStyle w:val="BurnessPaullClauseNumbering2"/>
        <w:numPr>
          <w:ilvl w:val="2"/>
          <w:numId w:val="22"/>
        </w:numPr>
        <w:tabs>
          <w:tab w:val="left" w:pos="720"/>
        </w:tabs>
        <w:spacing w:after="0" w:line="240" w:lineRule="auto"/>
        <w:rPr>
          <w:rFonts w:ascii="Calibri" w:hAnsi="Calibri" w:cs="Arial"/>
          <w:highlight w:val="yellow"/>
        </w:rPr>
      </w:pPr>
      <w:bookmarkStart w:id="39" w:name="_Ref509915705"/>
      <w:r w:rsidRPr="001B2CAB">
        <w:rPr>
          <w:rFonts w:ascii="Calibri" w:hAnsi="Calibri" w:cs="Arial"/>
        </w:rPr>
        <w:t xml:space="preserve">Processing Party Details: </w:t>
      </w:r>
      <w:r w:rsidRPr="001B2CAB">
        <w:rPr>
          <w:rFonts w:ascii="Calibri" w:hAnsi="Calibri" w:cs="Arial"/>
          <w:highlight w:val="yellow"/>
        </w:rPr>
        <w:t>COMPLETE PROCESSING PARTY DETAILS</w:t>
      </w:r>
      <w:proofErr w:type="gramStart"/>
      <w:r w:rsidRPr="001B2CAB">
        <w:rPr>
          <w:rFonts w:ascii="Calibri" w:hAnsi="Calibri" w:cs="Arial"/>
          <w:highlight w:val="yellow"/>
        </w:rPr>
        <w:t>];</w:t>
      </w:r>
      <w:bookmarkEnd w:id="39"/>
      <w:proofErr w:type="gramEnd"/>
    </w:p>
    <w:p w14:paraId="4ADFFFA6" w14:textId="77777777" w:rsidR="00CA159E" w:rsidRPr="001B2CAB" w:rsidRDefault="00CA159E" w:rsidP="00CA159E">
      <w:pPr>
        <w:pStyle w:val="BurnessPaullClauseNumbering2"/>
        <w:numPr>
          <w:ilvl w:val="0"/>
          <w:numId w:val="0"/>
        </w:numPr>
        <w:tabs>
          <w:tab w:val="left" w:pos="720"/>
        </w:tabs>
        <w:spacing w:after="0" w:line="240" w:lineRule="auto"/>
        <w:ind w:left="426"/>
        <w:rPr>
          <w:rFonts w:ascii="Calibri" w:hAnsi="Calibri" w:cs="Arial"/>
        </w:rPr>
      </w:pPr>
      <w:r w:rsidRPr="001B2CAB">
        <w:rPr>
          <w:rFonts w:ascii="Calibri" w:hAnsi="Calibri" w:cs="Arial"/>
        </w:rPr>
        <w:t>immediately and in any event within 24 hours after becoming aware of a Security Breach relating to the Services or the Processing undertaken in relation to the Controller Party.  Where such notification is not made within 24 hours to the Controller Party, the Processing Party must accompany the notice of such Security Breach with details of the reason for the delay in notification.</w:t>
      </w:r>
      <w:bookmarkEnd w:id="37"/>
    </w:p>
    <w:p w14:paraId="0E5F7174" w14:textId="77777777" w:rsidR="00CA159E" w:rsidRPr="001B2CAB" w:rsidRDefault="00CA159E" w:rsidP="00CA159E">
      <w:pPr>
        <w:pStyle w:val="BurnessPaullClauseNumbering2"/>
        <w:numPr>
          <w:ilvl w:val="1"/>
          <w:numId w:val="22"/>
        </w:numPr>
        <w:tabs>
          <w:tab w:val="left" w:pos="720"/>
        </w:tabs>
        <w:spacing w:after="0" w:line="240" w:lineRule="auto"/>
        <w:ind w:left="426" w:hanging="426"/>
        <w:rPr>
          <w:rFonts w:ascii="Calibri" w:hAnsi="Calibri" w:cs="Arial"/>
        </w:rPr>
      </w:pPr>
      <w:bookmarkStart w:id="40" w:name="_Ref509915706"/>
      <w:r w:rsidRPr="001B2CAB">
        <w:rPr>
          <w:rFonts w:ascii="Calibri" w:hAnsi="Calibri" w:cs="Arial"/>
        </w:rPr>
        <w:t>Any notification of a Security Breach shall include:</w:t>
      </w:r>
      <w:bookmarkEnd w:id="40"/>
    </w:p>
    <w:p w14:paraId="7E902310" w14:textId="77777777" w:rsidR="00CA159E" w:rsidRPr="001B2CAB" w:rsidRDefault="00CA159E" w:rsidP="00CA159E">
      <w:pPr>
        <w:pStyle w:val="BurnessPaullClauseNumbering3"/>
        <w:numPr>
          <w:ilvl w:val="2"/>
          <w:numId w:val="22"/>
        </w:numPr>
        <w:tabs>
          <w:tab w:val="left" w:pos="720"/>
        </w:tabs>
        <w:spacing w:after="0" w:line="240" w:lineRule="auto"/>
        <w:ind w:left="993" w:hanging="567"/>
        <w:rPr>
          <w:rFonts w:ascii="Calibri" w:hAnsi="Calibri" w:cs="Arial"/>
        </w:rPr>
      </w:pPr>
      <w:bookmarkStart w:id="41" w:name="_Ref509915707"/>
      <w:r w:rsidRPr="001B2CAB">
        <w:rPr>
          <w:rFonts w:ascii="Calibri" w:hAnsi="Calibri" w:cs="Arial"/>
        </w:rPr>
        <w:t xml:space="preserve">a description of the Personal Data Breach including, where possible, the categories and approximate number of Data Subjects concerned and the categories and approximate number of Personal Data records </w:t>
      </w:r>
      <w:proofErr w:type="gramStart"/>
      <w:r w:rsidRPr="001B2CAB">
        <w:rPr>
          <w:rFonts w:ascii="Calibri" w:hAnsi="Calibri" w:cs="Arial"/>
        </w:rPr>
        <w:t>concerned;</w:t>
      </w:r>
      <w:bookmarkEnd w:id="41"/>
      <w:proofErr w:type="gramEnd"/>
    </w:p>
    <w:p w14:paraId="7A9E184B" w14:textId="77777777" w:rsidR="00CA159E" w:rsidRPr="001B2CAB" w:rsidRDefault="00CA159E" w:rsidP="00CA159E">
      <w:pPr>
        <w:pStyle w:val="BurnessPaullClauseNumbering3"/>
        <w:numPr>
          <w:ilvl w:val="2"/>
          <w:numId w:val="22"/>
        </w:numPr>
        <w:tabs>
          <w:tab w:val="left" w:pos="720"/>
        </w:tabs>
        <w:spacing w:after="0" w:line="240" w:lineRule="auto"/>
        <w:ind w:left="993" w:hanging="567"/>
        <w:rPr>
          <w:rFonts w:ascii="Calibri" w:hAnsi="Calibri" w:cs="Arial"/>
        </w:rPr>
      </w:pPr>
      <w:bookmarkStart w:id="42" w:name="_Ref509915708"/>
      <w:r w:rsidRPr="001B2CAB">
        <w:rPr>
          <w:rFonts w:ascii="Calibri" w:hAnsi="Calibri" w:cs="Arial"/>
        </w:rPr>
        <w:t xml:space="preserve">contact details of the Data Protection Officer or other contact point where more information can be </w:t>
      </w:r>
      <w:proofErr w:type="gramStart"/>
      <w:r w:rsidRPr="001B2CAB">
        <w:rPr>
          <w:rFonts w:ascii="Calibri" w:hAnsi="Calibri" w:cs="Arial"/>
        </w:rPr>
        <w:t>obtained;</w:t>
      </w:r>
      <w:bookmarkEnd w:id="42"/>
      <w:proofErr w:type="gramEnd"/>
    </w:p>
    <w:p w14:paraId="1E16DC46" w14:textId="77777777" w:rsidR="00CA159E" w:rsidRPr="001B2CAB" w:rsidRDefault="00CA159E" w:rsidP="00CA159E">
      <w:pPr>
        <w:pStyle w:val="BurnessPaullClauseNumbering3"/>
        <w:numPr>
          <w:ilvl w:val="2"/>
          <w:numId w:val="22"/>
        </w:numPr>
        <w:tabs>
          <w:tab w:val="left" w:pos="720"/>
        </w:tabs>
        <w:spacing w:after="0" w:line="240" w:lineRule="auto"/>
        <w:ind w:left="993" w:hanging="567"/>
        <w:rPr>
          <w:rFonts w:ascii="Calibri" w:hAnsi="Calibri" w:cs="Arial"/>
        </w:rPr>
      </w:pPr>
      <w:bookmarkStart w:id="43" w:name="_Ref509915709"/>
      <w:r w:rsidRPr="001B2CAB">
        <w:rPr>
          <w:rFonts w:ascii="Calibri" w:hAnsi="Calibri" w:cs="Arial"/>
        </w:rPr>
        <w:t>a description of the likely consequences of the Personal Data Breach; and</w:t>
      </w:r>
      <w:bookmarkEnd w:id="43"/>
      <w:r w:rsidRPr="001B2CAB">
        <w:rPr>
          <w:rFonts w:ascii="Calibri" w:hAnsi="Calibri" w:cs="Arial"/>
        </w:rPr>
        <w:t xml:space="preserve"> </w:t>
      </w:r>
    </w:p>
    <w:p w14:paraId="0C760FC7" w14:textId="6CA2EB71" w:rsidR="00CA159E" w:rsidRPr="00346748" w:rsidRDefault="00CA159E" w:rsidP="00346748">
      <w:pPr>
        <w:pStyle w:val="BurnessPaullClauseNumbering3"/>
        <w:numPr>
          <w:ilvl w:val="2"/>
          <w:numId w:val="22"/>
        </w:numPr>
        <w:tabs>
          <w:tab w:val="left" w:pos="720"/>
        </w:tabs>
        <w:spacing w:after="0" w:line="240" w:lineRule="auto"/>
        <w:ind w:left="993" w:hanging="567"/>
        <w:rPr>
          <w:rFonts w:ascii="Calibri" w:hAnsi="Calibri" w:cs="Arial"/>
        </w:rPr>
      </w:pPr>
      <w:bookmarkStart w:id="44" w:name="_Ref509915710"/>
      <w:r w:rsidRPr="001B2CAB">
        <w:rPr>
          <w:rFonts w:ascii="Calibri" w:hAnsi="Calibri" w:cs="Arial"/>
        </w:rPr>
        <w:lastRenderedPageBreak/>
        <w:t>a description of the measures taken or proposed to be taken by the Processing Party to address the Personal Data Breach, including, where appropriate, measures to mitigate its possible adverse effects</w:t>
      </w:r>
      <w:bookmarkEnd w:id="44"/>
      <w:r w:rsidR="00346748">
        <w:rPr>
          <w:rFonts w:ascii="Calibri" w:hAnsi="Calibri" w:cs="Arial"/>
        </w:rPr>
        <w:t xml:space="preserve">, and the </w:t>
      </w:r>
      <w:r w:rsidR="00346748" w:rsidRPr="001B2CAB">
        <w:rPr>
          <w:rFonts w:ascii="Calibri" w:hAnsi="Calibri" w:cs="Arial"/>
        </w:rPr>
        <w:t>Processing Party shall update such notification</w:t>
      </w:r>
      <w:r w:rsidR="00346748">
        <w:rPr>
          <w:rFonts w:ascii="Calibri" w:hAnsi="Calibri" w:cs="Arial"/>
        </w:rPr>
        <w:t xml:space="preserve"> </w:t>
      </w:r>
      <w:r w:rsidR="00346748" w:rsidRPr="001B2CAB">
        <w:rPr>
          <w:rFonts w:ascii="Calibri" w:hAnsi="Calibri" w:cs="Arial"/>
        </w:rPr>
        <w:t>as and when more information becomes available.</w:t>
      </w:r>
    </w:p>
    <w:p w14:paraId="284804C2" w14:textId="77777777" w:rsidR="00CA159E" w:rsidRPr="001B2CAB" w:rsidRDefault="00CA159E" w:rsidP="00CA159E">
      <w:pPr>
        <w:pStyle w:val="BurnessPaullClauseNumbering2"/>
        <w:numPr>
          <w:ilvl w:val="1"/>
          <w:numId w:val="22"/>
        </w:numPr>
        <w:tabs>
          <w:tab w:val="left" w:pos="720"/>
        </w:tabs>
        <w:spacing w:after="0" w:line="240" w:lineRule="auto"/>
        <w:ind w:left="426" w:hanging="426"/>
        <w:rPr>
          <w:rFonts w:ascii="Calibri" w:hAnsi="Calibri" w:cs="Arial"/>
        </w:rPr>
      </w:pPr>
      <w:bookmarkStart w:id="45" w:name="_Ref509915711"/>
      <w:r w:rsidRPr="001B2CAB">
        <w:rPr>
          <w:rFonts w:ascii="Calibri" w:hAnsi="Calibri" w:cs="Arial"/>
        </w:rPr>
        <w:t>The Processing Party shall co-operate with the Controller Party and take such reasonable steps to assist the Controller Party in the investigation, mitigation and remediation of each such Personal Data Breach.</w:t>
      </w:r>
      <w:bookmarkEnd w:id="45"/>
    </w:p>
    <w:p w14:paraId="6DEB5A8B" w14:textId="77777777" w:rsidR="00CA159E" w:rsidRPr="001B2CAB" w:rsidRDefault="00CA159E" w:rsidP="00CA159E">
      <w:pPr>
        <w:pStyle w:val="BurnessPaullClauseNumbering2"/>
        <w:numPr>
          <w:ilvl w:val="0"/>
          <w:numId w:val="0"/>
        </w:numPr>
        <w:tabs>
          <w:tab w:val="left" w:pos="720"/>
        </w:tabs>
        <w:spacing w:after="0" w:line="240" w:lineRule="auto"/>
        <w:rPr>
          <w:rFonts w:ascii="Calibri" w:hAnsi="Calibri" w:cs="Arial"/>
        </w:rPr>
      </w:pPr>
    </w:p>
    <w:p w14:paraId="78FD7F0D" w14:textId="77777777" w:rsidR="00CA159E" w:rsidRPr="001B2CAB" w:rsidRDefault="00CA159E" w:rsidP="00CA159E">
      <w:pPr>
        <w:pStyle w:val="BurnessPaullClauseNumbering1"/>
        <w:numPr>
          <w:ilvl w:val="0"/>
          <w:numId w:val="22"/>
        </w:numPr>
        <w:tabs>
          <w:tab w:val="left" w:pos="720"/>
        </w:tabs>
        <w:spacing w:after="0" w:line="240" w:lineRule="auto"/>
        <w:ind w:left="426" w:hanging="426"/>
        <w:rPr>
          <w:rFonts w:ascii="Calibri" w:hAnsi="Calibri" w:cs="Arial"/>
        </w:rPr>
      </w:pPr>
      <w:bookmarkStart w:id="46" w:name="_Ref509915712"/>
      <w:r w:rsidRPr="001B2CAB">
        <w:rPr>
          <w:rFonts w:ascii="Calibri" w:hAnsi="Calibri" w:cs="Arial"/>
        </w:rPr>
        <w:t>Records</w:t>
      </w:r>
      <w:bookmarkEnd w:id="46"/>
    </w:p>
    <w:p w14:paraId="30001FF7" w14:textId="77777777" w:rsidR="00CA159E" w:rsidRPr="001B2CAB" w:rsidRDefault="00CA159E" w:rsidP="008440AA">
      <w:pPr>
        <w:pStyle w:val="BurnessPaullClauseNumbering2"/>
        <w:numPr>
          <w:ilvl w:val="0"/>
          <w:numId w:val="0"/>
        </w:numPr>
        <w:tabs>
          <w:tab w:val="left" w:pos="720"/>
        </w:tabs>
        <w:spacing w:after="0" w:line="240" w:lineRule="auto"/>
        <w:ind w:left="426"/>
        <w:rPr>
          <w:rFonts w:ascii="Calibri" w:hAnsi="Calibri" w:cs="Arial"/>
        </w:rPr>
      </w:pPr>
      <w:bookmarkStart w:id="47" w:name="_Ref509915713"/>
      <w:r w:rsidRPr="001B2CAB">
        <w:rPr>
          <w:rFonts w:ascii="Calibri" w:hAnsi="Calibri" w:cs="Arial"/>
        </w:rPr>
        <w:t xml:space="preserve">The Processing Party shall make available to the Controller Party all information necessary to demonstrate that the Processing Party has complied with its obligations under the Agreement and this </w:t>
      </w:r>
      <w:proofErr w:type="spellStart"/>
      <w:r w:rsidRPr="001B2CAB">
        <w:rPr>
          <w:rFonts w:ascii="Calibri" w:hAnsi="Calibri" w:cs="Arial"/>
        </w:rPr>
        <w:t>MoA</w:t>
      </w:r>
      <w:proofErr w:type="spellEnd"/>
      <w:r w:rsidRPr="001B2CAB">
        <w:rPr>
          <w:rFonts w:ascii="Calibri" w:hAnsi="Calibri" w:cs="Arial"/>
        </w:rPr>
        <w:t xml:space="preserve"> and shall allow for and assist with audits, including inspections, of the Processing Party by the Controller Party and/or on behalf of the Controller Party subject to the Controller Party giving the Processing Party at least </w:t>
      </w:r>
      <w:bookmarkStart w:id="48" w:name="DocXTextRef10"/>
      <w:r w:rsidRPr="001B2CAB">
        <w:rPr>
          <w:rFonts w:ascii="Calibri" w:hAnsi="Calibri" w:cs="Arial"/>
        </w:rPr>
        <w:t>20</w:t>
      </w:r>
      <w:bookmarkEnd w:id="48"/>
      <w:r w:rsidRPr="001B2CAB">
        <w:rPr>
          <w:rFonts w:ascii="Calibri" w:hAnsi="Calibri" w:cs="Arial"/>
        </w:rPr>
        <w:t xml:space="preserve"> Working Days’ prior notice and the Controller Party taking reasonable endeavours to minimise disruption to the Processing Party’s business.</w:t>
      </w:r>
      <w:bookmarkEnd w:id="47"/>
      <w:r w:rsidRPr="001B2CAB">
        <w:rPr>
          <w:rFonts w:ascii="Calibri" w:hAnsi="Calibri" w:cs="Arial"/>
        </w:rPr>
        <w:t xml:space="preserve"> </w:t>
      </w:r>
    </w:p>
    <w:p w14:paraId="0FD72585" w14:textId="77777777" w:rsidR="00CA159E" w:rsidRPr="001B2CAB" w:rsidRDefault="00CA159E" w:rsidP="00CA159E">
      <w:pPr>
        <w:pStyle w:val="BurnessPaullClauseNumbering2"/>
        <w:numPr>
          <w:ilvl w:val="0"/>
          <w:numId w:val="0"/>
        </w:numPr>
        <w:tabs>
          <w:tab w:val="left" w:pos="720"/>
        </w:tabs>
        <w:spacing w:after="0" w:line="240" w:lineRule="auto"/>
        <w:rPr>
          <w:rFonts w:ascii="Calibri" w:hAnsi="Calibri" w:cs="Arial"/>
        </w:rPr>
      </w:pPr>
    </w:p>
    <w:p w14:paraId="4BC70A2D" w14:textId="77777777" w:rsidR="00CA159E" w:rsidRPr="001B2CAB" w:rsidRDefault="00CA159E" w:rsidP="00CA159E">
      <w:pPr>
        <w:pStyle w:val="BurnessPaullClauseNumbering1"/>
        <w:numPr>
          <w:ilvl w:val="0"/>
          <w:numId w:val="22"/>
        </w:numPr>
        <w:tabs>
          <w:tab w:val="left" w:pos="720"/>
        </w:tabs>
        <w:spacing w:after="0" w:line="240" w:lineRule="auto"/>
        <w:ind w:left="426" w:hanging="426"/>
        <w:rPr>
          <w:rFonts w:ascii="Calibri" w:hAnsi="Calibri" w:cs="Arial"/>
        </w:rPr>
      </w:pPr>
      <w:bookmarkStart w:id="49" w:name="_Ref509915714"/>
      <w:r w:rsidRPr="001B2CAB">
        <w:rPr>
          <w:rFonts w:ascii="Calibri" w:hAnsi="Calibri" w:cs="Arial"/>
        </w:rPr>
        <w:t>Sub-Contracting</w:t>
      </w:r>
      <w:bookmarkEnd w:id="49"/>
    </w:p>
    <w:p w14:paraId="2DDE364B" w14:textId="77777777" w:rsidR="00CA159E" w:rsidRPr="001B2CAB" w:rsidRDefault="00CA159E" w:rsidP="00CA159E">
      <w:pPr>
        <w:pStyle w:val="BurnessPaullClauseNumbering2"/>
        <w:numPr>
          <w:ilvl w:val="1"/>
          <w:numId w:val="22"/>
        </w:numPr>
        <w:tabs>
          <w:tab w:val="left" w:pos="720"/>
        </w:tabs>
        <w:spacing w:after="0" w:line="240" w:lineRule="auto"/>
        <w:ind w:left="426" w:hanging="426"/>
        <w:rPr>
          <w:rFonts w:ascii="Calibri" w:hAnsi="Calibri" w:cs="Arial"/>
        </w:rPr>
      </w:pPr>
      <w:bookmarkStart w:id="50" w:name="_Ref509915715"/>
      <w:r w:rsidRPr="001B2CAB">
        <w:rPr>
          <w:rFonts w:ascii="Calibri" w:hAnsi="Calibri" w:cs="Arial"/>
        </w:rPr>
        <w:t>The Processing Party shall not engage a Sub-Processor without the Controller Party’s prior written consent.</w:t>
      </w:r>
      <w:bookmarkEnd w:id="50"/>
    </w:p>
    <w:p w14:paraId="40D59BD6" w14:textId="77777777" w:rsidR="00CA159E" w:rsidRPr="001B2CAB" w:rsidRDefault="00CA159E" w:rsidP="00CA159E">
      <w:pPr>
        <w:pStyle w:val="BurnessPaullClauseNumbering2"/>
        <w:keepNext/>
        <w:numPr>
          <w:ilvl w:val="1"/>
          <w:numId w:val="22"/>
        </w:numPr>
        <w:tabs>
          <w:tab w:val="left" w:pos="720"/>
        </w:tabs>
        <w:spacing w:after="0" w:line="240" w:lineRule="auto"/>
        <w:ind w:left="426" w:hanging="426"/>
        <w:rPr>
          <w:rFonts w:ascii="Calibri" w:hAnsi="Calibri" w:cs="Arial"/>
        </w:rPr>
      </w:pPr>
      <w:bookmarkStart w:id="51" w:name="_Ref509915716"/>
      <w:r w:rsidRPr="001B2CAB">
        <w:rPr>
          <w:rFonts w:ascii="Calibri" w:hAnsi="Calibri" w:cs="Arial"/>
        </w:rPr>
        <w:t>Where the Processing Party engages a Sub-Processor:</w:t>
      </w:r>
      <w:bookmarkEnd w:id="51"/>
    </w:p>
    <w:p w14:paraId="5DC82A3F" w14:textId="77777777" w:rsidR="00CA159E" w:rsidRPr="001B2CAB" w:rsidRDefault="00CA159E" w:rsidP="00CA159E">
      <w:pPr>
        <w:pStyle w:val="BurnessPaullClauseNumbering3"/>
        <w:numPr>
          <w:ilvl w:val="2"/>
          <w:numId w:val="22"/>
        </w:numPr>
        <w:tabs>
          <w:tab w:val="left" w:pos="720"/>
        </w:tabs>
        <w:spacing w:after="0" w:line="240" w:lineRule="auto"/>
        <w:ind w:left="993" w:hanging="567"/>
        <w:rPr>
          <w:rFonts w:ascii="Calibri" w:hAnsi="Calibri" w:cs="Arial"/>
        </w:rPr>
      </w:pPr>
      <w:bookmarkStart w:id="52" w:name="_Ref509915717"/>
      <w:r w:rsidRPr="001B2CAB">
        <w:rPr>
          <w:rFonts w:ascii="Calibri" w:hAnsi="Calibri" w:cs="Arial"/>
        </w:rPr>
        <w:t xml:space="preserve">the Processing Party shall ensure that the Sub-Processor </w:t>
      </w:r>
      <w:proofErr w:type="gramStart"/>
      <w:r w:rsidRPr="001B2CAB">
        <w:rPr>
          <w:rFonts w:ascii="Calibri" w:hAnsi="Calibri" w:cs="Arial"/>
        </w:rPr>
        <w:t>is capable of providing</w:t>
      </w:r>
      <w:proofErr w:type="gramEnd"/>
      <w:r w:rsidRPr="001B2CAB">
        <w:rPr>
          <w:rFonts w:ascii="Calibri" w:hAnsi="Calibri" w:cs="Arial"/>
        </w:rPr>
        <w:t xml:space="preserve"> the level of protection for Personal Data required by the Agreement and this </w:t>
      </w:r>
      <w:proofErr w:type="spellStart"/>
      <w:proofErr w:type="gramStart"/>
      <w:r w:rsidRPr="001B2CAB">
        <w:rPr>
          <w:rFonts w:ascii="Calibri" w:hAnsi="Calibri" w:cs="Arial"/>
        </w:rPr>
        <w:t>MoA</w:t>
      </w:r>
      <w:proofErr w:type="spellEnd"/>
      <w:r w:rsidRPr="001B2CAB">
        <w:rPr>
          <w:rFonts w:ascii="Calibri" w:hAnsi="Calibri" w:cs="Arial"/>
        </w:rPr>
        <w:t>;</w:t>
      </w:r>
      <w:bookmarkEnd w:id="52"/>
      <w:proofErr w:type="gramEnd"/>
    </w:p>
    <w:p w14:paraId="630993FE" w14:textId="77777777" w:rsidR="00CA159E" w:rsidRPr="001B2CAB" w:rsidRDefault="00CA159E" w:rsidP="00CA159E">
      <w:pPr>
        <w:pStyle w:val="BurnessPaullClauseNumbering3"/>
        <w:numPr>
          <w:ilvl w:val="2"/>
          <w:numId w:val="22"/>
        </w:numPr>
        <w:tabs>
          <w:tab w:val="left" w:pos="720"/>
        </w:tabs>
        <w:spacing w:after="0" w:line="240" w:lineRule="auto"/>
        <w:ind w:left="993" w:hanging="567"/>
        <w:rPr>
          <w:rFonts w:ascii="Calibri" w:hAnsi="Calibri" w:cs="Arial"/>
        </w:rPr>
      </w:pPr>
      <w:bookmarkStart w:id="53" w:name="_Ref509915718"/>
      <w:r w:rsidRPr="001B2CAB">
        <w:rPr>
          <w:rFonts w:ascii="Calibri" w:hAnsi="Calibri" w:cs="Arial"/>
        </w:rPr>
        <w:t xml:space="preserve">the Processing Party shall ensure that the Sub-Processor is subject to contractual obligations no less onerous than those set out in the Agreement and this </w:t>
      </w:r>
      <w:proofErr w:type="spellStart"/>
      <w:r w:rsidRPr="001B2CAB">
        <w:rPr>
          <w:rFonts w:ascii="Calibri" w:hAnsi="Calibri" w:cs="Arial"/>
        </w:rPr>
        <w:t>MoA</w:t>
      </w:r>
      <w:proofErr w:type="spellEnd"/>
      <w:r w:rsidRPr="001B2CAB">
        <w:rPr>
          <w:rFonts w:ascii="Calibri" w:hAnsi="Calibri" w:cs="Arial"/>
        </w:rPr>
        <w:t xml:space="preserve"> and provide evidence of the same to the Controller Party on request.</w:t>
      </w:r>
      <w:bookmarkEnd w:id="53"/>
      <w:r w:rsidRPr="001B2CAB">
        <w:rPr>
          <w:rFonts w:ascii="Calibri" w:hAnsi="Calibri" w:cs="Arial"/>
        </w:rPr>
        <w:t xml:space="preserve"> </w:t>
      </w:r>
    </w:p>
    <w:p w14:paraId="017F60B4" w14:textId="77777777" w:rsidR="00CA159E" w:rsidRPr="001B2CAB" w:rsidRDefault="00CA159E" w:rsidP="00CA159E">
      <w:pPr>
        <w:pStyle w:val="BurnessPaullClauseNumbering2"/>
        <w:numPr>
          <w:ilvl w:val="1"/>
          <w:numId w:val="22"/>
        </w:numPr>
        <w:tabs>
          <w:tab w:val="left" w:pos="720"/>
        </w:tabs>
        <w:spacing w:after="0" w:line="240" w:lineRule="auto"/>
        <w:ind w:left="426" w:hanging="426"/>
        <w:rPr>
          <w:rFonts w:ascii="Calibri" w:hAnsi="Calibri" w:cs="Arial"/>
        </w:rPr>
      </w:pPr>
      <w:bookmarkStart w:id="54" w:name="_Ref509915719"/>
      <w:r w:rsidRPr="001B2CAB">
        <w:rPr>
          <w:rFonts w:ascii="Calibri" w:hAnsi="Calibri" w:cs="Arial"/>
        </w:rPr>
        <w:t>The Processing Party shall remain fully liable to the Controller Party for the Sub-Processor's performance.</w:t>
      </w:r>
      <w:bookmarkEnd w:id="54"/>
    </w:p>
    <w:p w14:paraId="0EAD7C50" w14:textId="77777777" w:rsidR="00CA159E" w:rsidRPr="001B2CAB" w:rsidRDefault="00CA159E" w:rsidP="00CA159E">
      <w:pPr>
        <w:pStyle w:val="BurnessPaullClauseNumbering2"/>
        <w:numPr>
          <w:ilvl w:val="0"/>
          <w:numId w:val="0"/>
        </w:numPr>
        <w:tabs>
          <w:tab w:val="left" w:pos="720"/>
        </w:tabs>
        <w:spacing w:after="0" w:line="240" w:lineRule="auto"/>
        <w:rPr>
          <w:rFonts w:ascii="Calibri" w:hAnsi="Calibri" w:cs="Arial"/>
        </w:rPr>
      </w:pPr>
    </w:p>
    <w:p w14:paraId="3086AEE7" w14:textId="77777777" w:rsidR="00CA159E" w:rsidRPr="001B2CAB" w:rsidRDefault="00CA159E" w:rsidP="00CA159E">
      <w:pPr>
        <w:pStyle w:val="BurnessPaullClauseNumbering1"/>
        <w:numPr>
          <w:ilvl w:val="0"/>
          <w:numId w:val="22"/>
        </w:numPr>
        <w:tabs>
          <w:tab w:val="left" w:pos="720"/>
        </w:tabs>
        <w:spacing w:after="0" w:line="240" w:lineRule="auto"/>
        <w:ind w:left="426" w:hanging="426"/>
        <w:rPr>
          <w:rFonts w:ascii="Calibri" w:hAnsi="Calibri" w:cs="Arial"/>
        </w:rPr>
      </w:pPr>
      <w:bookmarkStart w:id="55" w:name="_Ref509915720"/>
      <w:r w:rsidRPr="001B2CAB">
        <w:rPr>
          <w:rFonts w:ascii="Calibri" w:hAnsi="Calibri" w:cs="Arial"/>
        </w:rPr>
        <w:t>Cross Border Data Transfers</w:t>
      </w:r>
      <w:bookmarkEnd w:id="55"/>
    </w:p>
    <w:p w14:paraId="39F0AED8" w14:textId="2667E630" w:rsidR="00CA159E" w:rsidRPr="001B2CAB" w:rsidRDefault="00CA159E" w:rsidP="00CA159E">
      <w:pPr>
        <w:pStyle w:val="BodyText1"/>
        <w:spacing w:after="0" w:line="240" w:lineRule="auto"/>
        <w:ind w:left="426" w:hanging="426"/>
        <w:rPr>
          <w:rFonts w:ascii="Calibri" w:hAnsi="Calibri" w:cs="Arial"/>
        </w:rPr>
      </w:pPr>
      <w:r w:rsidRPr="001B2CAB">
        <w:rPr>
          <w:rFonts w:ascii="Calibri" w:hAnsi="Calibri" w:cs="Arial"/>
        </w:rPr>
        <w:tab/>
        <w:t xml:space="preserve">The Processing Party shall not transfer the Personal Data of the Controller Party outside the European Economic Area without the Controller Party’s prior written consent.  </w:t>
      </w:r>
    </w:p>
    <w:p w14:paraId="61706B45" w14:textId="77777777" w:rsidR="00CA159E" w:rsidRPr="001B2CAB" w:rsidRDefault="00CA159E" w:rsidP="00CA159E">
      <w:pPr>
        <w:pStyle w:val="BodyText1"/>
        <w:spacing w:after="0" w:line="240" w:lineRule="auto"/>
        <w:ind w:left="426" w:hanging="426"/>
        <w:rPr>
          <w:rFonts w:ascii="Calibri" w:hAnsi="Calibri" w:cs="Arial"/>
        </w:rPr>
      </w:pPr>
    </w:p>
    <w:p w14:paraId="30D033A6" w14:textId="5CF97DBA" w:rsidR="00CA159E" w:rsidRPr="001B2CAB" w:rsidRDefault="00C711E5" w:rsidP="008B5CCC">
      <w:pPr>
        <w:pStyle w:val="BurnessPaullClauseNumbering1"/>
        <w:numPr>
          <w:ilvl w:val="0"/>
          <w:numId w:val="0"/>
        </w:numPr>
        <w:tabs>
          <w:tab w:val="left" w:pos="720"/>
        </w:tabs>
        <w:spacing w:after="0" w:line="240" w:lineRule="auto"/>
        <w:ind w:left="851" w:hanging="851"/>
        <w:rPr>
          <w:rFonts w:ascii="Calibri" w:hAnsi="Calibri" w:cs="Arial"/>
        </w:rPr>
      </w:pPr>
      <w:bookmarkStart w:id="56" w:name="_Ref509915722"/>
      <w:r w:rsidRPr="001B2CAB">
        <w:rPr>
          <w:rFonts w:ascii="Calibri" w:hAnsi="Calibri" w:cs="Arial"/>
        </w:rPr>
        <w:t>1</w:t>
      </w:r>
      <w:r w:rsidR="00A36D03">
        <w:rPr>
          <w:rFonts w:ascii="Calibri" w:hAnsi="Calibri" w:cs="Arial"/>
        </w:rPr>
        <w:t>1</w:t>
      </w:r>
      <w:r w:rsidRPr="001B2CAB">
        <w:rPr>
          <w:rFonts w:ascii="Calibri" w:hAnsi="Calibri" w:cs="Arial"/>
        </w:rPr>
        <w:t>.</w:t>
      </w:r>
      <w:r w:rsidR="00A36D03">
        <w:rPr>
          <w:rFonts w:ascii="Calibri" w:hAnsi="Calibri" w:cs="Arial"/>
        </w:rPr>
        <w:t xml:space="preserve">   </w:t>
      </w:r>
      <w:r w:rsidR="00CA159E" w:rsidRPr="001B2CAB">
        <w:rPr>
          <w:rFonts w:ascii="Calibri" w:hAnsi="Calibri" w:cs="Arial"/>
        </w:rPr>
        <w:t>Miscellaneous</w:t>
      </w:r>
      <w:bookmarkEnd w:id="56"/>
    </w:p>
    <w:p w14:paraId="3E5A2B44" w14:textId="7D41317F" w:rsidR="00CA159E" w:rsidRPr="001B2CAB" w:rsidRDefault="00CA159E" w:rsidP="00CA159E">
      <w:pPr>
        <w:pStyle w:val="NumberedList1"/>
        <w:numPr>
          <w:ilvl w:val="0"/>
          <w:numId w:val="0"/>
        </w:numPr>
        <w:tabs>
          <w:tab w:val="left" w:pos="720"/>
        </w:tabs>
        <w:spacing w:after="0" w:line="240" w:lineRule="auto"/>
        <w:ind w:left="426" w:hanging="426"/>
        <w:rPr>
          <w:rFonts w:ascii="Calibri" w:hAnsi="Calibri" w:cs="Arial"/>
        </w:rPr>
      </w:pPr>
      <w:r w:rsidRPr="001B2CAB">
        <w:rPr>
          <w:rFonts w:ascii="Calibri" w:hAnsi="Calibri" w:cs="Arial"/>
        </w:rPr>
        <w:t>1</w:t>
      </w:r>
      <w:r w:rsidR="00A36D03">
        <w:rPr>
          <w:rFonts w:ascii="Calibri" w:hAnsi="Calibri" w:cs="Arial"/>
        </w:rPr>
        <w:t>1</w:t>
      </w:r>
      <w:r w:rsidRPr="001B2CAB">
        <w:rPr>
          <w:rFonts w:ascii="Calibri" w:hAnsi="Calibri" w:cs="Arial"/>
        </w:rPr>
        <w:t>.1</w:t>
      </w:r>
      <w:r w:rsidRPr="001B2CAB">
        <w:rPr>
          <w:rFonts w:ascii="Calibri" w:hAnsi="Calibri" w:cs="Arial"/>
        </w:rPr>
        <w:tab/>
        <w:t xml:space="preserve">Should any provision of this </w:t>
      </w:r>
      <w:proofErr w:type="spellStart"/>
      <w:r w:rsidRPr="001B2CAB">
        <w:rPr>
          <w:rFonts w:ascii="Calibri" w:hAnsi="Calibri" w:cs="Arial"/>
        </w:rPr>
        <w:t>MoA</w:t>
      </w:r>
      <w:proofErr w:type="spellEnd"/>
      <w:r w:rsidRPr="001B2CAB">
        <w:rPr>
          <w:rFonts w:ascii="Calibri" w:hAnsi="Calibri" w:cs="Arial"/>
        </w:rPr>
        <w:t xml:space="preserve"> be invalid or unenforceable, then the remainder shall remain valid and in force. The invalid or unenforceable provision shall be either </w:t>
      </w:r>
      <w:bookmarkStart w:id="57" w:name="DocXTextRef11"/>
      <w:r w:rsidRPr="001B2CAB">
        <w:rPr>
          <w:rFonts w:ascii="Calibri" w:hAnsi="Calibri" w:cs="Arial"/>
        </w:rPr>
        <w:t>(</w:t>
      </w:r>
      <w:proofErr w:type="spellStart"/>
      <w:r w:rsidRPr="001B2CAB">
        <w:rPr>
          <w:rFonts w:ascii="Calibri" w:hAnsi="Calibri" w:cs="Arial"/>
        </w:rPr>
        <w:t>i</w:t>
      </w:r>
      <w:proofErr w:type="spellEnd"/>
      <w:r w:rsidRPr="001B2CAB">
        <w:rPr>
          <w:rFonts w:ascii="Calibri" w:hAnsi="Calibri" w:cs="Arial"/>
        </w:rPr>
        <w:t>)</w:t>
      </w:r>
      <w:bookmarkEnd w:id="57"/>
      <w:r w:rsidRPr="001B2CAB">
        <w:rPr>
          <w:rFonts w:ascii="Calibri" w:hAnsi="Calibri" w:cs="Arial"/>
        </w:rPr>
        <w:t xml:space="preserve"> amended as necessary to ensure its validity and enforceability, while preserving the parties’ intentions as closely as possible or, if this is not possible, (ii) construed in a manner as if the invalid or unenforceable part had never been contained therein.</w:t>
      </w:r>
    </w:p>
    <w:p w14:paraId="243A9FE1" w14:textId="3E8B84E3" w:rsidR="00CA159E" w:rsidRPr="001B2CAB" w:rsidRDefault="00CA159E" w:rsidP="00CA159E">
      <w:pPr>
        <w:pStyle w:val="BurnessPaullClauseNumbering2"/>
        <w:numPr>
          <w:ilvl w:val="0"/>
          <w:numId w:val="0"/>
        </w:numPr>
        <w:tabs>
          <w:tab w:val="left" w:pos="720"/>
        </w:tabs>
        <w:spacing w:after="0" w:line="240" w:lineRule="auto"/>
        <w:ind w:left="426" w:hanging="426"/>
        <w:rPr>
          <w:rFonts w:ascii="Calibri" w:hAnsi="Calibri" w:cs="Arial"/>
        </w:rPr>
      </w:pPr>
      <w:r w:rsidRPr="001B2CAB">
        <w:rPr>
          <w:rFonts w:ascii="Calibri" w:hAnsi="Calibri" w:cs="Arial"/>
        </w:rPr>
        <w:t>1</w:t>
      </w:r>
      <w:r w:rsidR="00A36D03">
        <w:rPr>
          <w:rFonts w:ascii="Calibri" w:hAnsi="Calibri" w:cs="Arial"/>
        </w:rPr>
        <w:t>1</w:t>
      </w:r>
      <w:r w:rsidRPr="001B2CAB">
        <w:rPr>
          <w:rFonts w:ascii="Calibri" w:hAnsi="Calibri" w:cs="Arial"/>
        </w:rPr>
        <w:t>.2</w:t>
      </w:r>
      <w:r w:rsidRPr="001B2CAB">
        <w:rPr>
          <w:rFonts w:ascii="Calibri" w:hAnsi="Calibri" w:cs="Arial"/>
        </w:rPr>
        <w:tab/>
        <w:t xml:space="preserve">In the event of conflict between the terms of this </w:t>
      </w:r>
      <w:proofErr w:type="spellStart"/>
      <w:r w:rsidRPr="001B2CAB">
        <w:rPr>
          <w:rFonts w:ascii="Calibri" w:hAnsi="Calibri" w:cs="Arial"/>
        </w:rPr>
        <w:t>MoA</w:t>
      </w:r>
      <w:proofErr w:type="spellEnd"/>
      <w:r w:rsidRPr="001B2CAB">
        <w:rPr>
          <w:rFonts w:ascii="Calibri" w:hAnsi="Calibri" w:cs="Arial"/>
        </w:rPr>
        <w:t xml:space="preserve"> and the Agreement, the terms of this </w:t>
      </w:r>
      <w:proofErr w:type="spellStart"/>
      <w:r w:rsidRPr="001B2CAB">
        <w:rPr>
          <w:rFonts w:ascii="Calibri" w:hAnsi="Calibri" w:cs="Arial"/>
        </w:rPr>
        <w:t>MoA</w:t>
      </w:r>
      <w:proofErr w:type="spellEnd"/>
      <w:r w:rsidRPr="001B2CAB">
        <w:rPr>
          <w:rFonts w:ascii="Calibri" w:hAnsi="Calibri" w:cs="Arial"/>
        </w:rPr>
        <w:t xml:space="preserve"> will take precedence.  </w:t>
      </w:r>
    </w:p>
    <w:p w14:paraId="3B48EE1E" w14:textId="09901AD0" w:rsidR="00CA159E" w:rsidRPr="001B2CAB" w:rsidRDefault="00CA159E" w:rsidP="00CA159E">
      <w:pPr>
        <w:pStyle w:val="BurnessPaullClauseNumbering2"/>
        <w:numPr>
          <w:ilvl w:val="0"/>
          <w:numId w:val="0"/>
        </w:numPr>
        <w:tabs>
          <w:tab w:val="left" w:pos="720"/>
        </w:tabs>
        <w:spacing w:after="0" w:line="240" w:lineRule="auto"/>
        <w:ind w:left="426" w:hanging="426"/>
        <w:rPr>
          <w:rFonts w:ascii="Calibri" w:hAnsi="Calibri" w:cs="Arial"/>
        </w:rPr>
      </w:pPr>
      <w:r w:rsidRPr="001B2CAB">
        <w:rPr>
          <w:rFonts w:ascii="Calibri" w:hAnsi="Calibri" w:cs="Arial"/>
        </w:rPr>
        <w:t>1</w:t>
      </w:r>
      <w:r w:rsidR="00A36D03">
        <w:rPr>
          <w:rFonts w:ascii="Calibri" w:hAnsi="Calibri" w:cs="Arial"/>
        </w:rPr>
        <w:t>1</w:t>
      </w:r>
      <w:r w:rsidRPr="001B2CAB">
        <w:rPr>
          <w:rFonts w:ascii="Calibri" w:hAnsi="Calibri" w:cs="Arial"/>
        </w:rPr>
        <w:t>.3</w:t>
      </w:r>
      <w:r w:rsidRPr="001B2CAB">
        <w:rPr>
          <w:rFonts w:ascii="Calibri" w:hAnsi="Calibri" w:cs="Arial"/>
        </w:rPr>
        <w:tab/>
        <w:t xml:space="preserve">This </w:t>
      </w:r>
      <w:proofErr w:type="spellStart"/>
      <w:r w:rsidRPr="001B2CAB">
        <w:rPr>
          <w:rFonts w:ascii="Calibri" w:hAnsi="Calibri" w:cs="Arial"/>
        </w:rPr>
        <w:t>MoA</w:t>
      </w:r>
      <w:proofErr w:type="spellEnd"/>
      <w:r w:rsidRPr="001B2CAB">
        <w:rPr>
          <w:rFonts w:ascii="Calibri" w:hAnsi="Calibri" w:cs="Arial"/>
        </w:rPr>
        <w:t xml:space="preserve"> shall be governed, construed and take effect in all respects in accordance with the laws of England and shall be subject to the non-exclusive jurisdiction of the English courts.</w:t>
      </w:r>
    </w:p>
    <w:p w14:paraId="77E3B928" w14:textId="46B6F217" w:rsidR="00CA159E" w:rsidRPr="001B2CAB" w:rsidRDefault="00CA159E" w:rsidP="0079444E">
      <w:pPr>
        <w:pStyle w:val="BurnessPaullClauseNumbering2"/>
        <w:numPr>
          <w:ilvl w:val="0"/>
          <w:numId w:val="0"/>
        </w:numPr>
        <w:tabs>
          <w:tab w:val="left" w:pos="720"/>
        </w:tabs>
        <w:spacing w:after="0" w:line="240" w:lineRule="auto"/>
        <w:ind w:left="426" w:hanging="426"/>
        <w:jc w:val="left"/>
        <w:rPr>
          <w:rFonts w:ascii="Calibri" w:hAnsi="Calibri" w:cs="Arial"/>
        </w:rPr>
      </w:pPr>
      <w:r w:rsidRPr="001B2CAB">
        <w:rPr>
          <w:rFonts w:ascii="Calibri" w:hAnsi="Calibri" w:cs="Arial"/>
        </w:rPr>
        <w:t>1</w:t>
      </w:r>
      <w:r w:rsidR="00A36D03">
        <w:rPr>
          <w:rFonts w:ascii="Calibri" w:hAnsi="Calibri" w:cs="Arial"/>
        </w:rPr>
        <w:t>1</w:t>
      </w:r>
      <w:r w:rsidRPr="001B2CAB">
        <w:rPr>
          <w:rFonts w:ascii="Calibri" w:hAnsi="Calibri" w:cs="Arial"/>
        </w:rPr>
        <w:t>.</w:t>
      </w:r>
      <w:r w:rsidR="00D561D0">
        <w:rPr>
          <w:rFonts w:ascii="Calibri" w:hAnsi="Calibri" w:cs="Arial"/>
        </w:rPr>
        <w:t>4</w:t>
      </w:r>
      <w:r w:rsidRPr="001B2CAB">
        <w:rPr>
          <w:rFonts w:ascii="Calibri" w:hAnsi="Calibri" w:cs="Arial"/>
        </w:rPr>
        <w:tab/>
        <w:t xml:space="preserve">This </w:t>
      </w:r>
      <w:proofErr w:type="spellStart"/>
      <w:r w:rsidRPr="001B2CAB">
        <w:rPr>
          <w:rFonts w:ascii="Calibri" w:hAnsi="Calibri" w:cs="Arial"/>
        </w:rPr>
        <w:t>MoA</w:t>
      </w:r>
      <w:proofErr w:type="spellEnd"/>
      <w:r w:rsidRPr="001B2CAB">
        <w:rPr>
          <w:rFonts w:ascii="Calibri" w:hAnsi="Calibri" w:cs="Arial"/>
        </w:rPr>
        <w:t xml:space="preserve"> may be executed in any number of counterparts and by the different parties on separate </w:t>
      </w:r>
      <w:proofErr w:type="gramStart"/>
      <w:r w:rsidRPr="001B2CAB">
        <w:rPr>
          <w:rFonts w:ascii="Calibri" w:hAnsi="Calibri" w:cs="Arial"/>
        </w:rPr>
        <w:t>counterparts, but</w:t>
      </w:r>
      <w:proofErr w:type="gramEnd"/>
      <w:r w:rsidRPr="001B2CAB">
        <w:rPr>
          <w:rFonts w:ascii="Calibri" w:hAnsi="Calibri" w:cs="Arial"/>
        </w:rPr>
        <w:t xml:space="preserve"> shall not take effect until each party has executed at least one counterpart.  Each counterpart shall constitute an </w:t>
      </w:r>
      <w:proofErr w:type="gramStart"/>
      <w:r w:rsidRPr="001B2CAB">
        <w:rPr>
          <w:rFonts w:ascii="Calibri" w:hAnsi="Calibri" w:cs="Arial"/>
        </w:rPr>
        <w:t>original</w:t>
      </w:r>
      <w:proofErr w:type="gramEnd"/>
      <w:r w:rsidRPr="001B2CAB">
        <w:rPr>
          <w:rFonts w:ascii="Calibri" w:hAnsi="Calibri" w:cs="Arial"/>
        </w:rPr>
        <w:t xml:space="preserve"> but all the counterparts together shall constitute a single </w:t>
      </w:r>
      <w:proofErr w:type="spellStart"/>
      <w:r w:rsidRPr="001B2CAB">
        <w:rPr>
          <w:rFonts w:ascii="Calibri" w:hAnsi="Calibri" w:cs="Arial"/>
        </w:rPr>
        <w:t>MoA</w:t>
      </w:r>
      <w:proofErr w:type="spellEnd"/>
      <w:r w:rsidRPr="001B2CAB">
        <w:rPr>
          <w:rFonts w:ascii="Calibri" w:hAnsi="Calibri" w:cs="Arial"/>
        </w:rPr>
        <w:t>.</w:t>
      </w:r>
    </w:p>
    <w:p w14:paraId="76431F93" w14:textId="77777777" w:rsidR="00CA159E" w:rsidRDefault="00CA159E" w:rsidP="00CA159E">
      <w:pPr>
        <w:pStyle w:val="NumberedList1"/>
        <w:numPr>
          <w:ilvl w:val="0"/>
          <w:numId w:val="0"/>
        </w:numPr>
        <w:tabs>
          <w:tab w:val="left" w:pos="720"/>
        </w:tabs>
        <w:spacing w:after="0" w:line="240" w:lineRule="auto"/>
        <w:ind w:left="426" w:hanging="426"/>
        <w:rPr>
          <w:rFonts w:ascii="Calibri" w:hAnsi="Calibri" w:cs="Arial"/>
        </w:rPr>
      </w:pPr>
    </w:p>
    <w:p w14:paraId="081F47E9" w14:textId="77777777" w:rsidR="005D4E59" w:rsidRDefault="005D4E59" w:rsidP="00CA159E">
      <w:pPr>
        <w:pStyle w:val="NumberedList1"/>
        <w:numPr>
          <w:ilvl w:val="0"/>
          <w:numId w:val="0"/>
        </w:numPr>
        <w:tabs>
          <w:tab w:val="left" w:pos="720"/>
        </w:tabs>
        <w:spacing w:after="0" w:line="240" w:lineRule="auto"/>
        <w:ind w:left="426" w:hanging="426"/>
        <w:rPr>
          <w:rFonts w:ascii="Calibri" w:hAnsi="Calibri" w:cs="Arial"/>
        </w:rPr>
      </w:pPr>
    </w:p>
    <w:p w14:paraId="331672B6" w14:textId="77777777" w:rsidR="005D4E59" w:rsidRDefault="005D4E59" w:rsidP="00CA159E">
      <w:pPr>
        <w:pStyle w:val="NumberedList1"/>
        <w:numPr>
          <w:ilvl w:val="0"/>
          <w:numId w:val="0"/>
        </w:numPr>
        <w:tabs>
          <w:tab w:val="left" w:pos="720"/>
        </w:tabs>
        <w:spacing w:after="0" w:line="240" w:lineRule="auto"/>
        <w:ind w:left="426" w:hanging="426"/>
        <w:rPr>
          <w:rFonts w:ascii="Calibri" w:hAnsi="Calibri" w:cs="Arial"/>
        </w:rPr>
      </w:pPr>
    </w:p>
    <w:p w14:paraId="7F3B8B60" w14:textId="77777777" w:rsidR="00BF50C2" w:rsidRDefault="00BF50C2" w:rsidP="00CA159E">
      <w:pPr>
        <w:pStyle w:val="NumberedList1"/>
        <w:numPr>
          <w:ilvl w:val="0"/>
          <w:numId w:val="0"/>
        </w:numPr>
        <w:tabs>
          <w:tab w:val="left" w:pos="720"/>
        </w:tabs>
        <w:spacing w:after="0" w:line="240" w:lineRule="auto"/>
        <w:ind w:left="426" w:hanging="426"/>
        <w:rPr>
          <w:rFonts w:ascii="Calibri" w:hAnsi="Calibri" w:cs="Arial"/>
        </w:rPr>
      </w:pPr>
    </w:p>
    <w:p w14:paraId="2A5EEB38" w14:textId="0A3DEFD2" w:rsidR="00BF50C2" w:rsidRDefault="00BF50C2" w:rsidP="00CA159E">
      <w:pPr>
        <w:pStyle w:val="NumberedList1"/>
        <w:numPr>
          <w:ilvl w:val="0"/>
          <w:numId w:val="0"/>
        </w:numPr>
        <w:tabs>
          <w:tab w:val="left" w:pos="720"/>
        </w:tabs>
        <w:spacing w:after="0" w:line="240" w:lineRule="auto"/>
        <w:ind w:left="426" w:hanging="426"/>
        <w:rPr>
          <w:rFonts w:ascii="Calibri" w:hAnsi="Calibri" w:cs="Arial"/>
        </w:rPr>
      </w:pPr>
    </w:p>
    <w:p w14:paraId="0A2EAB7B" w14:textId="77777777" w:rsidR="005D4E59" w:rsidRPr="001B2CAB" w:rsidRDefault="005D4E59" w:rsidP="00CA159E">
      <w:pPr>
        <w:pStyle w:val="NumberedList1"/>
        <w:numPr>
          <w:ilvl w:val="0"/>
          <w:numId w:val="0"/>
        </w:numPr>
        <w:tabs>
          <w:tab w:val="left" w:pos="720"/>
        </w:tabs>
        <w:spacing w:after="0" w:line="240" w:lineRule="auto"/>
        <w:ind w:left="426" w:hanging="426"/>
        <w:rPr>
          <w:rFonts w:ascii="Calibri" w:hAnsi="Calibri" w:cs="Arial"/>
        </w:rPr>
      </w:pPr>
    </w:p>
    <w:p w14:paraId="3B7531F3" w14:textId="77777777" w:rsidR="00CA159E" w:rsidRPr="001B2CAB" w:rsidRDefault="00CA159E" w:rsidP="00CA159E">
      <w:pPr>
        <w:pStyle w:val="BodyText"/>
        <w:spacing w:after="0" w:line="240" w:lineRule="auto"/>
        <w:rPr>
          <w:rFonts w:ascii="Calibri" w:hAnsi="Calibri" w:cs="Arial"/>
        </w:rPr>
      </w:pPr>
      <w:r w:rsidRPr="001B2CAB">
        <w:rPr>
          <w:rFonts w:ascii="Calibri" w:hAnsi="Calibri" w:cs="Arial"/>
        </w:rPr>
        <w:t xml:space="preserve">IN WITNESS WHEREOF these presents consisting of this and the preceding </w:t>
      </w:r>
      <w:r w:rsidR="00BD0EED">
        <w:rPr>
          <w:rFonts w:ascii="Calibri" w:hAnsi="Calibri" w:cs="Arial"/>
        </w:rPr>
        <w:t>4</w:t>
      </w:r>
      <w:r w:rsidRPr="001B2CAB">
        <w:rPr>
          <w:rFonts w:ascii="Calibri" w:hAnsi="Calibri" w:cs="Arial"/>
        </w:rPr>
        <w:t xml:space="preserve"> pages together with the Annex are executed as follows:</w:t>
      </w:r>
    </w:p>
    <w:p w14:paraId="1A0A0DD2" w14:textId="77777777" w:rsidR="00CA159E" w:rsidRDefault="00CA159E" w:rsidP="00CA159E">
      <w:pPr>
        <w:spacing w:after="0" w:line="240" w:lineRule="auto"/>
        <w:rPr>
          <w:rFonts w:ascii="Arial" w:hAnsi="Arial" w:cs="Arial"/>
          <w:sz w:val="20"/>
          <w:szCs w:val="20"/>
        </w:rPr>
      </w:pPr>
    </w:p>
    <w:p w14:paraId="0EC10344" w14:textId="77777777" w:rsidR="00CA159E" w:rsidRDefault="00CA159E" w:rsidP="00CA159E">
      <w:pPr>
        <w:spacing w:after="0" w:line="240" w:lineRule="auto"/>
        <w:rPr>
          <w:rFonts w:ascii="Arial" w:hAnsi="Arial" w:cs="Arial"/>
          <w:sz w:val="20"/>
          <w:szCs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50"/>
        <w:gridCol w:w="5146"/>
      </w:tblGrid>
      <w:tr w:rsidR="00CA159E" w14:paraId="2C1055E5" w14:textId="77777777" w:rsidTr="00CA159E">
        <w:tc>
          <w:tcPr>
            <w:tcW w:w="3936" w:type="dxa"/>
            <w:tcBorders>
              <w:top w:val="single" w:sz="12" w:space="0" w:color="auto"/>
              <w:left w:val="single" w:sz="12" w:space="0" w:color="auto"/>
              <w:bottom w:val="single" w:sz="12" w:space="0" w:color="auto"/>
              <w:right w:val="single" w:sz="12" w:space="0" w:color="auto"/>
            </w:tcBorders>
            <w:hideMark/>
          </w:tcPr>
          <w:p w14:paraId="1DA6F03E" w14:textId="77777777" w:rsidR="00CA159E" w:rsidRDefault="00CA159E">
            <w:pPr>
              <w:tabs>
                <w:tab w:val="center" w:pos="4513"/>
                <w:tab w:val="right" w:pos="9026"/>
              </w:tabs>
              <w:rPr>
                <w:rFonts w:eastAsia="STZhongsong" w:cs="Arial"/>
              </w:rPr>
            </w:pPr>
            <w:r>
              <w:rPr>
                <w:rFonts w:eastAsia="STZhongsong" w:cs="Arial"/>
                <w:b/>
              </w:rPr>
              <w:t>Signed for and on behalf of the Processing Party:</w:t>
            </w:r>
          </w:p>
          <w:p w14:paraId="285B3844" w14:textId="77777777" w:rsidR="00CA159E" w:rsidRDefault="00CA159E">
            <w:pPr>
              <w:tabs>
                <w:tab w:val="center" w:pos="4513"/>
                <w:tab w:val="right" w:pos="9026"/>
              </w:tabs>
              <w:jc w:val="both"/>
              <w:rPr>
                <w:rFonts w:eastAsia="STZhongsong" w:cs="Arial"/>
              </w:rPr>
            </w:pPr>
            <w:r>
              <w:rPr>
                <w:rFonts w:eastAsia="STZhongsong" w:cs="Arial"/>
              </w:rPr>
              <w:t>Signature</w:t>
            </w:r>
          </w:p>
        </w:tc>
        <w:tc>
          <w:tcPr>
            <w:tcW w:w="5306" w:type="dxa"/>
            <w:tcBorders>
              <w:top w:val="single" w:sz="12" w:space="0" w:color="auto"/>
              <w:left w:val="single" w:sz="12" w:space="0" w:color="auto"/>
              <w:bottom w:val="single" w:sz="12" w:space="0" w:color="auto"/>
              <w:right w:val="single" w:sz="12" w:space="0" w:color="auto"/>
            </w:tcBorders>
          </w:tcPr>
          <w:p w14:paraId="4E8A55F4" w14:textId="77777777" w:rsidR="00CA159E" w:rsidRDefault="00CA159E">
            <w:pPr>
              <w:tabs>
                <w:tab w:val="center" w:pos="4513"/>
                <w:tab w:val="right" w:pos="9026"/>
              </w:tabs>
              <w:jc w:val="both"/>
              <w:rPr>
                <w:rFonts w:eastAsia="STZhongsong" w:cs="Arial"/>
              </w:rPr>
            </w:pPr>
          </w:p>
        </w:tc>
      </w:tr>
      <w:tr w:rsidR="00CA159E" w14:paraId="32475930" w14:textId="77777777" w:rsidTr="00CA159E">
        <w:tc>
          <w:tcPr>
            <w:tcW w:w="3936" w:type="dxa"/>
            <w:tcBorders>
              <w:top w:val="single" w:sz="12" w:space="0" w:color="auto"/>
              <w:left w:val="single" w:sz="12" w:space="0" w:color="auto"/>
              <w:bottom w:val="single" w:sz="12" w:space="0" w:color="auto"/>
              <w:right w:val="single" w:sz="12" w:space="0" w:color="auto"/>
            </w:tcBorders>
            <w:hideMark/>
          </w:tcPr>
          <w:p w14:paraId="09BC0D62" w14:textId="77777777" w:rsidR="00CA159E" w:rsidRDefault="00CA159E">
            <w:pPr>
              <w:tabs>
                <w:tab w:val="center" w:pos="4513"/>
                <w:tab w:val="right" w:pos="9026"/>
              </w:tabs>
              <w:jc w:val="both"/>
              <w:rPr>
                <w:rFonts w:eastAsia="STZhongsong" w:cs="Arial"/>
              </w:rPr>
            </w:pPr>
            <w:r>
              <w:rPr>
                <w:rFonts w:eastAsia="STZhongsong" w:cs="Arial"/>
              </w:rPr>
              <w:t>Name</w:t>
            </w:r>
          </w:p>
        </w:tc>
        <w:tc>
          <w:tcPr>
            <w:tcW w:w="5306" w:type="dxa"/>
            <w:tcBorders>
              <w:top w:val="single" w:sz="12" w:space="0" w:color="auto"/>
              <w:left w:val="single" w:sz="12" w:space="0" w:color="auto"/>
              <w:bottom w:val="single" w:sz="12" w:space="0" w:color="auto"/>
              <w:right w:val="single" w:sz="12" w:space="0" w:color="auto"/>
            </w:tcBorders>
            <w:hideMark/>
          </w:tcPr>
          <w:p w14:paraId="0E5A1E41" w14:textId="77777777" w:rsidR="00CA159E" w:rsidRDefault="00CA159E">
            <w:pPr>
              <w:tabs>
                <w:tab w:val="center" w:pos="4513"/>
                <w:tab w:val="right" w:pos="9026"/>
              </w:tabs>
              <w:jc w:val="both"/>
              <w:rPr>
                <w:rFonts w:eastAsia="STZhongsong" w:cs="Arial"/>
              </w:rPr>
            </w:pPr>
            <w:r>
              <w:rPr>
                <w:rFonts w:eastAsia="STZhongsong" w:cs="Arial"/>
              </w:rPr>
              <w:t xml:space="preserve"> </w:t>
            </w:r>
          </w:p>
        </w:tc>
      </w:tr>
      <w:tr w:rsidR="00CA159E" w14:paraId="45E9ACCD" w14:textId="77777777" w:rsidTr="00CA159E">
        <w:tc>
          <w:tcPr>
            <w:tcW w:w="3936" w:type="dxa"/>
            <w:tcBorders>
              <w:top w:val="single" w:sz="12" w:space="0" w:color="auto"/>
              <w:left w:val="single" w:sz="12" w:space="0" w:color="auto"/>
              <w:bottom w:val="single" w:sz="12" w:space="0" w:color="auto"/>
              <w:right w:val="single" w:sz="12" w:space="0" w:color="auto"/>
            </w:tcBorders>
            <w:hideMark/>
          </w:tcPr>
          <w:p w14:paraId="76355B67" w14:textId="77777777" w:rsidR="00CA159E" w:rsidRDefault="00CA159E">
            <w:pPr>
              <w:tabs>
                <w:tab w:val="center" w:pos="4513"/>
                <w:tab w:val="right" w:pos="9026"/>
              </w:tabs>
              <w:jc w:val="both"/>
              <w:rPr>
                <w:rFonts w:eastAsia="STZhongsong" w:cs="Arial"/>
              </w:rPr>
            </w:pPr>
            <w:r>
              <w:rPr>
                <w:rFonts w:eastAsia="STZhongsong" w:cs="Arial"/>
              </w:rPr>
              <w:t>Position</w:t>
            </w:r>
          </w:p>
        </w:tc>
        <w:tc>
          <w:tcPr>
            <w:tcW w:w="5306" w:type="dxa"/>
            <w:tcBorders>
              <w:top w:val="single" w:sz="12" w:space="0" w:color="auto"/>
              <w:left w:val="single" w:sz="12" w:space="0" w:color="auto"/>
              <w:bottom w:val="single" w:sz="12" w:space="0" w:color="auto"/>
              <w:right w:val="single" w:sz="12" w:space="0" w:color="auto"/>
            </w:tcBorders>
            <w:hideMark/>
          </w:tcPr>
          <w:p w14:paraId="78007DDE" w14:textId="77777777" w:rsidR="00CA159E" w:rsidRDefault="00CA159E">
            <w:pPr>
              <w:tabs>
                <w:tab w:val="center" w:pos="4513"/>
                <w:tab w:val="right" w:pos="9026"/>
              </w:tabs>
              <w:jc w:val="both"/>
              <w:rPr>
                <w:rFonts w:eastAsia="STZhongsong" w:cs="Arial"/>
              </w:rPr>
            </w:pPr>
            <w:r>
              <w:rPr>
                <w:rFonts w:eastAsia="STZhongsong" w:cs="Arial"/>
              </w:rPr>
              <w:t xml:space="preserve"> </w:t>
            </w:r>
          </w:p>
        </w:tc>
      </w:tr>
      <w:tr w:rsidR="00CA159E" w14:paraId="0657F7EA" w14:textId="77777777" w:rsidTr="00CA159E">
        <w:tc>
          <w:tcPr>
            <w:tcW w:w="3936" w:type="dxa"/>
            <w:tcBorders>
              <w:top w:val="single" w:sz="12" w:space="0" w:color="auto"/>
              <w:left w:val="single" w:sz="12" w:space="0" w:color="auto"/>
              <w:bottom w:val="single" w:sz="12" w:space="0" w:color="auto"/>
              <w:right w:val="single" w:sz="12" w:space="0" w:color="auto"/>
            </w:tcBorders>
            <w:hideMark/>
          </w:tcPr>
          <w:p w14:paraId="309717C1" w14:textId="77777777" w:rsidR="00CA159E" w:rsidRDefault="00CA159E">
            <w:pPr>
              <w:tabs>
                <w:tab w:val="center" w:pos="4513"/>
                <w:tab w:val="right" w:pos="9026"/>
              </w:tabs>
              <w:jc w:val="both"/>
              <w:rPr>
                <w:rFonts w:eastAsia="STZhongsong" w:cs="Arial"/>
              </w:rPr>
            </w:pPr>
            <w:r>
              <w:rPr>
                <w:rFonts w:eastAsia="STZhongsong" w:cs="Arial"/>
              </w:rPr>
              <w:t>Date</w:t>
            </w:r>
          </w:p>
        </w:tc>
        <w:tc>
          <w:tcPr>
            <w:tcW w:w="5306" w:type="dxa"/>
            <w:tcBorders>
              <w:top w:val="single" w:sz="12" w:space="0" w:color="auto"/>
              <w:left w:val="single" w:sz="12" w:space="0" w:color="auto"/>
              <w:bottom w:val="single" w:sz="12" w:space="0" w:color="auto"/>
              <w:right w:val="single" w:sz="12" w:space="0" w:color="auto"/>
            </w:tcBorders>
          </w:tcPr>
          <w:p w14:paraId="2F771471" w14:textId="77777777" w:rsidR="00CA159E" w:rsidRDefault="00CA159E">
            <w:pPr>
              <w:tabs>
                <w:tab w:val="center" w:pos="4513"/>
                <w:tab w:val="right" w:pos="9026"/>
              </w:tabs>
              <w:jc w:val="both"/>
              <w:rPr>
                <w:rFonts w:eastAsia="STZhongsong" w:cs="Arial"/>
              </w:rPr>
            </w:pPr>
          </w:p>
        </w:tc>
      </w:tr>
    </w:tbl>
    <w:p w14:paraId="3DC44345" w14:textId="77777777" w:rsidR="00414E87" w:rsidRDefault="00414E87" w:rsidP="00CA159E">
      <w:pPr>
        <w:spacing w:after="0" w:line="240" w:lineRule="auto"/>
        <w:rPr>
          <w:rFonts w:ascii="Arial" w:eastAsia="Times New Roman" w:hAnsi="Arial" w:cs="Arial"/>
          <w:sz w:val="20"/>
          <w:szCs w:val="20"/>
        </w:rPr>
      </w:pPr>
    </w:p>
    <w:p w14:paraId="44BEC74A" w14:textId="77777777" w:rsidR="00414E87" w:rsidRDefault="00414E87" w:rsidP="00CA159E">
      <w:pPr>
        <w:spacing w:after="0" w:line="240" w:lineRule="auto"/>
        <w:rPr>
          <w:rFonts w:ascii="Arial" w:eastAsia="Times New Roman" w:hAnsi="Arial" w:cs="Arial"/>
          <w:sz w:val="20"/>
          <w:szCs w:val="20"/>
        </w:rPr>
      </w:pPr>
    </w:p>
    <w:p w14:paraId="4DA2C932" w14:textId="77777777" w:rsidR="00414E87" w:rsidRDefault="00414E87" w:rsidP="00CA159E">
      <w:pPr>
        <w:spacing w:after="0" w:line="240" w:lineRule="auto"/>
        <w:rPr>
          <w:rFonts w:ascii="Arial" w:eastAsia="Times New Roman" w:hAnsi="Arial" w:cs="Arial"/>
          <w:sz w:val="20"/>
          <w:szCs w:val="20"/>
        </w:rPr>
      </w:pPr>
    </w:p>
    <w:p w14:paraId="47932E81" w14:textId="77777777" w:rsidR="00CA159E" w:rsidRDefault="00CA159E" w:rsidP="00CA159E">
      <w:pPr>
        <w:spacing w:after="0" w:line="240" w:lineRule="auto"/>
        <w:rPr>
          <w:rFonts w:ascii="Arial" w:hAnsi="Arial" w:cs="Arial"/>
          <w:sz w:val="20"/>
          <w:szCs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35"/>
        <w:gridCol w:w="5161"/>
      </w:tblGrid>
      <w:tr w:rsidR="00CA159E" w14:paraId="1BF3AF78" w14:textId="77777777" w:rsidTr="00CA159E">
        <w:tc>
          <w:tcPr>
            <w:tcW w:w="3936" w:type="dxa"/>
            <w:tcBorders>
              <w:top w:val="single" w:sz="12" w:space="0" w:color="auto"/>
              <w:left w:val="single" w:sz="12" w:space="0" w:color="auto"/>
              <w:bottom w:val="single" w:sz="12" w:space="0" w:color="auto"/>
              <w:right w:val="single" w:sz="12" w:space="0" w:color="auto"/>
            </w:tcBorders>
            <w:hideMark/>
          </w:tcPr>
          <w:p w14:paraId="746BE35A" w14:textId="77777777" w:rsidR="00CA159E" w:rsidRDefault="00CA159E">
            <w:pPr>
              <w:keepNext/>
              <w:tabs>
                <w:tab w:val="center" w:pos="4513"/>
                <w:tab w:val="right" w:pos="9026"/>
              </w:tabs>
              <w:rPr>
                <w:rFonts w:eastAsia="STZhongsong" w:cs="Arial"/>
              </w:rPr>
            </w:pPr>
            <w:r>
              <w:rPr>
                <w:rFonts w:eastAsia="STZhongsong" w:cs="Arial"/>
                <w:b/>
              </w:rPr>
              <w:t>Signed for and on behalf of the Student Loans Company:</w:t>
            </w:r>
          </w:p>
          <w:p w14:paraId="69FDE163" w14:textId="77777777" w:rsidR="00CA159E" w:rsidRDefault="00CA159E">
            <w:pPr>
              <w:tabs>
                <w:tab w:val="center" w:pos="4513"/>
                <w:tab w:val="right" w:pos="9026"/>
              </w:tabs>
              <w:jc w:val="both"/>
              <w:rPr>
                <w:rFonts w:eastAsia="STZhongsong" w:cs="Arial"/>
              </w:rPr>
            </w:pPr>
            <w:r>
              <w:rPr>
                <w:rFonts w:eastAsia="STZhongsong" w:cs="Arial"/>
              </w:rPr>
              <w:t>Signature</w:t>
            </w:r>
          </w:p>
        </w:tc>
        <w:tc>
          <w:tcPr>
            <w:tcW w:w="5306" w:type="dxa"/>
            <w:tcBorders>
              <w:top w:val="single" w:sz="12" w:space="0" w:color="auto"/>
              <w:left w:val="single" w:sz="12" w:space="0" w:color="auto"/>
              <w:bottom w:val="single" w:sz="12" w:space="0" w:color="auto"/>
              <w:right w:val="single" w:sz="12" w:space="0" w:color="auto"/>
            </w:tcBorders>
          </w:tcPr>
          <w:p w14:paraId="4BBC902B" w14:textId="30A1DF66" w:rsidR="00CA159E" w:rsidRDefault="00CA159E">
            <w:pPr>
              <w:tabs>
                <w:tab w:val="center" w:pos="4513"/>
                <w:tab w:val="right" w:pos="9026"/>
              </w:tabs>
              <w:jc w:val="both"/>
              <w:rPr>
                <w:rFonts w:eastAsia="STZhongsong" w:cs="Arial"/>
              </w:rPr>
            </w:pPr>
          </w:p>
        </w:tc>
      </w:tr>
      <w:tr w:rsidR="00CA159E" w14:paraId="4E3D1B0B" w14:textId="77777777" w:rsidTr="00CA159E">
        <w:tc>
          <w:tcPr>
            <w:tcW w:w="3936" w:type="dxa"/>
            <w:tcBorders>
              <w:top w:val="single" w:sz="12" w:space="0" w:color="auto"/>
              <w:left w:val="single" w:sz="12" w:space="0" w:color="auto"/>
              <w:bottom w:val="single" w:sz="12" w:space="0" w:color="auto"/>
              <w:right w:val="single" w:sz="12" w:space="0" w:color="auto"/>
            </w:tcBorders>
            <w:hideMark/>
          </w:tcPr>
          <w:p w14:paraId="6E9F4D02" w14:textId="77777777" w:rsidR="00CA159E" w:rsidRDefault="00CA159E">
            <w:pPr>
              <w:tabs>
                <w:tab w:val="center" w:pos="4513"/>
                <w:tab w:val="right" w:pos="9026"/>
              </w:tabs>
              <w:jc w:val="both"/>
              <w:rPr>
                <w:rFonts w:eastAsia="STZhongsong" w:cs="Arial"/>
              </w:rPr>
            </w:pPr>
            <w:r>
              <w:rPr>
                <w:rFonts w:eastAsia="STZhongsong" w:cs="Arial"/>
              </w:rPr>
              <w:t>Name</w:t>
            </w:r>
          </w:p>
        </w:tc>
        <w:tc>
          <w:tcPr>
            <w:tcW w:w="5306" w:type="dxa"/>
            <w:tcBorders>
              <w:top w:val="single" w:sz="12" w:space="0" w:color="auto"/>
              <w:left w:val="single" w:sz="12" w:space="0" w:color="auto"/>
              <w:bottom w:val="single" w:sz="12" w:space="0" w:color="auto"/>
              <w:right w:val="single" w:sz="12" w:space="0" w:color="auto"/>
            </w:tcBorders>
            <w:hideMark/>
          </w:tcPr>
          <w:p w14:paraId="705A2B54" w14:textId="196D0A49" w:rsidR="00CA159E" w:rsidRPr="000F508C" w:rsidRDefault="00CA159E">
            <w:pPr>
              <w:tabs>
                <w:tab w:val="center" w:pos="4513"/>
                <w:tab w:val="right" w:pos="9026"/>
              </w:tabs>
              <w:jc w:val="both"/>
              <w:rPr>
                <w:rFonts w:eastAsia="STZhongsong" w:cs="Arial"/>
              </w:rPr>
            </w:pPr>
            <w:r w:rsidRPr="000F508C">
              <w:rPr>
                <w:rFonts w:eastAsia="STZhongsong" w:cs="Arial"/>
              </w:rPr>
              <w:t xml:space="preserve"> </w:t>
            </w:r>
            <w:r w:rsidR="00FB4743" w:rsidRPr="000F508C">
              <w:rPr>
                <w:rFonts w:eastAsia="STZhongsong" w:cs="Arial"/>
              </w:rPr>
              <w:t>Derek Ross</w:t>
            </w:r>
          </w:p>
        </w:tc>
      </w:tr>
      <w:tr w:rsidR="00CA159E" w14:paraId="6E25E9E6" w14:textId="77777777" w:rsidTr="00CA159E">
        <w:tc>
          <w:tcPr>
            <w:tcW w:w="3936" w:type="dxa"/>
            <w:tcBorders>
              <w:top w:val="single" w:sz="12" w:space="0" w:color="auto"/>
              <w:left w:val="single" w:sz="12" w:space="0" w:color="auto"/>
              <w:bottom w:val="single" w:sz="12" w:space="0" w:color="auto"/>
              <w:right w:val="single" w:sz="12" w:space="0" w:color="auto"/>
            </w:tcBorders>
            <w:hideMark/>
          </w:tcPr>
          <w:p w14:paraId="194353A2" w14:textId="77777777" w:rsidR="00CA159E" w:rsidRDefault="00CA159E">
            <w:pPr>
              <w:tabs>
                <w:tab w:val="center" w:pos="4513"/>
                <w:tab w:val="right" w:pos="9026"/>
              </w:tabs>
              <w:jc w:val="both"/>
              <w:rPr>
                <w:rFonts w:eastAsia="STZhongsong" w:cs="Arial"/>
              </w:rPr>
            </w:pPr>
            <w:r>
              <w:rPr>
                <w:rFonts w:eastAsia="STZhongsong" w:cs="Arial"/>
              </w:rPr>
              <w:t>Position</w:t>
            </w:r>
          </w:p>
        </w:tc>
        <w:tc>
          <w:tcPr>
            <w:tcW w:w="5306" w:type="dxa"/>
            <w:tcBorders>
              <w:top w:val="single" w:sz="12" w:space="0" w:color="auto"/>
              <w:left w:val="single" w:sz="12" w:space="0" w:color="auto"/>
              <w:bottom w:val="single" w:sz="12" w:space="0" w:color="auto"/>
              <w:right w:val="single" w:sz="12" w:space="0" w:color="auto"/>
            </w:tcBorders>
            <w:hideMark/>
          </w:tcPr>
          <w:p w14:paraId="46EC3123" w14:textId="2698026D" w:rsidR="00CA159E" w:rsidRPr="000F508C" w:rsidRDefault="00CA159E">
            <w:pPr>
              <w:tabs>
                <w:tab w:val="center" w:pos="4513"/>
                <w:tab w:val="right" w:pos="9026"/>
              </w:tabs>
              <w:jc w:val="both"/>
              <w:rPr>
                <w:rFonts w:eastAsia="STZhongsong" w:cs="Arial"/>
              </w:rPr>
            </w:pPr>
            <w:r w:rsidRPr="000F508C">
              <w:rPr>
                <w:rFonts w:eastAsia="STZhongsong" w:cs="Arial"/>
              </w:rPr>
              <w:t xml:space="preserve"> </w:t>
            </w:r>
            <w:r w:rsidR="00FB4743" w:rsidRPr="000F508C">
              <w:rPr>
                <w:rFonts w:eastAsia="STZhongsong" w:cs="Arial"/>
              </w:rPr>
              <w:t>Executive Director HE/FE Reform</w:t>
            </w:r>
          </w:p>
        </w:tc>
      </w:tr>
      <w:tr w:rsidR="00CA159E" w14:paraId="3395D323" w14:textId="77777777" w:rsidTr="00CA159E">
        <w:tc>
          <w:tcPr>
            <w:tcW w:w="3936" w:type="dxa"/>
            <w:tcBorders>
              <w:top w:val="single" w:sz="12" w:space="0" w:color="auto"/>
              <w:left w:val="single" w:sz="12" w:space="0" w:color="auto"/>
              <w:bottom w:val="single" w:sz="12" w:space="0" w:color="auto"/>
              <w:right w:val="single" w:sz="12" w:space="0" w:color="auto"/>
            </w:tcBorders>
            <w:hideMark/>
          </w:tcPr>
          <w:p w14:paraId="3F8B02C2" w14:textId="77777777" w:rsidR="00CA159E" w:rsidRDefault="00CA159E">
            <w:pPr>
              <w:tabs>
                <w:tab w:val="center" w:pos="4513"/>
                <w:tab w:val="right" w:pos="9026"/>
              </w:tabs>
              <w:jc w:val="both"/>
              <w:rPr>
                <w:rFonts w:eastAsia="STZhongsong" w:cs="Arial"/>
              </w:rPr>
            </w:pPr>
            <w:r>
              <w:rPr>
                <w:rFonts w:eastAsia="STZhongsong" w:cs="Arial"/>
              </w:rPr>
              <w:t>Date</w:t>
            </w:r>
          </w:p>
        </w:tc>
        <w:tc>
          <w:tcPr>
            <w:tcW w:w="5306" w:type="dxa"/>
            <w:tcBorders>
              <w:top w:val="single" w:sz="12" w:space="0" w:color="auto"/>
              <w:left w:val="single" w:sz="12" w:space="0" w:color="auto"/>
              <w:bottom w:val="single" w:sz="12" w:space="0" w:color="auto"/>
              <w:right w:val="single" w:sz="12" w:space="0" w:color="auto"/>
            </w:tcBorders>
            <w:hideMark/>
          </w:tcPr>
          <w:p w14:paraId="52F59D06" w14:textId="6B656F66" w:rsidR="00CA159E" w:rsidRPr="00A856B8" w:rsidRDefault="00A856B8" w:rsidP="001129EC">
            <w:pPr>
              <w:tabs>
                <w:tab w:val="center" w:pos="4513"/>
                <w:tab w:val="right" w:pos="9026"/>
              </w:tabs>
              <w:rPr>
                <w:rFonts w:asciiTheme="minorHAnsi" w:eastAsia="STZhongsong" w:hAnsiTheme="minorHAnsi" w:cstheme="minorHAnsi"/>
                <w:color w:val="EE0000"/>
              </w:rPr>
            </w:pPr>
            <w:r w:rsidRPr="00A856B8">
              <w:rPr>
                <w:rFonts w:asciiTheme="minorHAnsi" w:eastAsia="STZhongsong" w:hAnsiTheme="minorHAnsi" w:cstheme="minorHAnsi"/>
                <w:color w:val="000000" w:themeColor="text1"/>
              </w:rPr>
              <w:t>30/07/2025</w:t>
            </w:r>
          </w:p>
        </w:tc>
      </w:tr>
    </w:tbl>
    <w:p w14:paraId="15D1A508" w14:textId="77777777" w:rsidR="00CA159E" w:rsidRDefault="00CA159E" w:rsidP="00CA159E">
      <w:pPr>
        <w:spacing w:after="0" w:line="240" w:lineRule="auto"/>
        <w:rPr>
          <w:rFonts w:ascii="Arial" w:eastAsia="Times New Roman" w:hAnsi="Arial" w:cs="Arial"/>
          <w:sz w:val="20"/>
          <w:szCs w:val="20"/>
        </w:rPr>
      </w:pPr>
      <w:r>
        <w:rPr>
          <w:rFonts w:ascii="Arial" w:hAnsi="Arial" w:cs="Arial"/>
          <w:sz w:val="20"/>
          <w:szCs w:val="20"/>
        </w:rPr>
        <w:t xml:space="preserve"> </w:t>
      </w:r>
      <w:r>
        <w:rPr>
          <w:rFonts w:ascii="Arial" w:hAnsi="Arial" w:cs="Arial"/>
          <w:sz w:val="20"/>
          <w:szCs w:val="20"/>
        </w:rPr>
        <w:br w:type="page"/>
      </w:r>
    </w:p>
    <w:p w14:paraId="26B4EA0A" w14:textId="77777777" w:rsidR="00CA159E" w:rsidRDefault="00CA159E" w:rsidP="00CA159E">
      <w:pPr>
        <w:pStyle w:val="BodyText"/>
        <w:jc w:val="center"/>
        <w:rPr>
          <w:b/>
        </w:rPr>
      </w:pPr>
      <w:r>
        <w:rPr>
          <w:b/>
        </w:rPr>
        <w:lastRenderedPageBreak/>
        <w:t>Annex 1: Details of Processing of Personal Data</w:t>
      </w:r>
    </w:p>
    <w:p w14:paraId="05835C13" w14:textId="44F5DCA9" w:rsidR="00CA159E" w:rsidRPr="001B2CAB" w:rsidRDefault="00CA159E" w:rsidP="00CA159E">
      <w:pPr>
        <w:pStyle w:val="BodyText1"/>
        <w:spacing w:after="0" w:line="240" w:lineRule="auto"/>
        <w:ind w:left="0"/>
        <w:rPr>
          <w:rFonts w:ascii="Calibri" w:hAnsi="Calibri" w:cs="Arial"/>
        </w:rPr>
      </w:pPr>
      <w:r w:rsidRPr="001B2CAB">
        <w:rPr>
          <w:rFonts w:ascii="Calibri" w:hAnsi="Calibri" w:cs="Arial"/>
        </w:rPr>
        <w:t xml:space="preserve">This Annex includes certain details of the Processing as required by Article 28(3) </w:t>
      </w:r>
      <w:r w:rsidR="00875297">
        <w:rPr>
          <w:rFonts w:ascii="Calibri" w:hAnsi="Calibri" w:cs="Arial"/>
        </w:rPr>
        <w:t xml:space="preserve">UK </w:t>
      </w:r>
      <w:r w:rsidRPr="001B2CAB">
        <w:rPr>
          <w:rFonts w:ascii="Calibri" w:hAnsi="Calibri" w:cs="Arial"/>
        </w:rPr>
        <w:t>GDPR.</w:t>
      </w:r>
    </w:p>
    <w:p w14:paraId="1B700199" w14:textId="77777777" w:rsidR="00BD0EED" w:rsidRDefault="00CA159E" w:rsidP="00CA159E">
      <w:pPr>
        <w:pStyle w:val="Heading3"/>
        <w:spacing w:after="0" w:line="240" w:lineRule="auto"/>
        <w:rPr>
          <w:rFonts w:ascii="Calibri" w:hAnsi="Calibri"/>
          <w:sz w:val="22"/>
          <w:szCs w:val="22"/>
        </w:rPr>
      </w:pPr>
      <w:r w:rsidRPr="00BD0EED">
        <w:rPr>
          <w:rFonts w:ascii="Calibri" w:hAnsi="Calibri"/>
          <w:sz w:val="22"/>
          <w:szCs w:val="22"/>
        </w:rPr>
        <w:t>Subject matter and duration of the Processing of Personal Data</w:t>
      </w:r>
    </w:p>
    <w:p w14:paraId="32FA0301" w14:textId="77777777" w:rsidR="00CA159E" w:rsidRPr="00BD0EED" w:rsidRDefault="00CA159E" w:rsidP="00CA159E">
      <w:pPr>
        <w:pStyle w:val="Heading3"/>
        <w:spacing w:after="0" w:line="240" w:lineRule="auto"/>
        <w:rPr>
          <w:rFonts w:ascii="Calibri" w:hAnsi="Calibri"/>
          <w:b w:val="0"/>
          <w:sz w:val="22"/>
          <w:szCs w:val="22"/>
        </w:rPr>
      </w:pPr>
      <w:r w:rsidRPr="00BD0EED">
        <w:rPr>
          <w:rFonts w:ascii="Calibri" w:hAnsi="Calibri"/>
          <w:b w:val="0"/>
          <w:sz w:val="22"/>
          <w:szCs w:val="22"/>
        </w:rPr>
        <w:t xml:space="preserve">The subject matter and duration of the Processing of Personal Data are set out in the Agreement and this </w:t>
      </w:r>
      <w:proofErr w:type="spellStart"/>
      <w:r w:rsidRPr="00BD0EED">
        <w:rPr>
          <w:rFonts w:ascii="Calibri" w:hAnsi="Calibri"/>
          <w:b w:val="0"/>
          <w:sz w:val="22"/>
          <w:szCs w:val="22"/>
        </w:rPr>
        <w:t>MoA</w:t>
      </w:r>
      <w:proofErr w:type="spellEnd"/>
      <w:r w:rsidRPr="00BD0EED">
        <w:rPr>
          <w:rFonts w:ascii="Calibri" w:hAnsi="Calibri"/>
          <w:b w:val="0"/>
          <w:sz w:val="22"/>
          <w:szCs w:val="22"/>
        </w:rPr>
        <w:t>.</w:t>
      </w:r>
    </w:p>
    <w:p w14:paraId="3C520E96" w14:textId="47CE61AE" w:rsidR="00CA159E" w:rsidRPr="00BD0EED" w:rsidRDefault="00CA159E" w:rsidP="00CA159E">
      <w:pPr>
        <w:pStyle w:val="Heading3"/>
        <w:spacing w:after="0" w:line="240" w:lineRule="auto"/>
        <w:rPr>
          <w:rFonts w:ascii="Calibri" w:hAnsi="Calibri"/>
          <w:b w:val="0"/>
          <w:sz w:val="22"/>
          <w:szCs w:val="22"/>
        </w:rPr>
      </w:pPr>
      <w:r w:rsidRPr="00BD0EED">
        <w:rPr>
          <w:rFonts w:ascii="Calibri" w:hAnsi="Calibri"/>
          <w:b w:val="0"/>
          <w:sz w:val="22"/>
          <w:szCs w:val="22"/>
        </w:rPr>
        <w:t xml:space="preserve">Personal Data shall be processed by the Controller Party in accordance with the Agreement and this </w:t>
      </w:r>
      <w:proofErr w:type="spellStart"/>
      <w:r w:rsidRPr="00BD0EED">
        <w:rPr>
          <w:rFonts w:ascii="Calibri" w:hAnsi="Calibri"/>
          <w:b w:val="0"/>
          <w:sz w:val="22"/>
          <w:szCs w:val="22"/>
        </w:rPr>
        <w:t>MoA</w:t>
      </w:r>
      <w:proofErr w:type="spellEnd"/>
      <w:r w:rsidRPr="00BD0EED">
        <w:rPr>
          <w:rFonts w:ascii="Calibri" w:hAnsi="Calibri"/>
          <w:b w:val="0"/>
          <w:sz w:val="22"/>
          <w:szCs w:val="22"/>
        </w:rPr>
        <w:t xml:space="preserve"> in relation to the Services from </w:t>
      </w:r>
      <w:r w:rsidR="00116B1A" w:rsidRPr="00D451DD">
        <w:rPr>
          <w:rFonts w:ascii="Calibri" w:hAnsi="Calibri"/>
          <w:b w:val="0"/>
          <w:sz w:val="22"/>
          <w:szCs w:val="22"/>
        </w:rPr>
        <w:t xml:space="preserve">August </w:t>
      </w:r>
      <w:r w:rsidRPr="00D451DD">
        <w:rPr>
          <w:rFonts w:ascii="Calibri" w:hAnsi="Calibri"/>
          <w:b w:val="0"/>
          <w:sz w:val="22"/>
          <w:szCs w:val="22"/>
        </w:rPr>
        <w:t>2</w:t>
      </w:r>
      <w:r w:rsidR="00116B1A" w:rsidRPr="00D451DD">
        <w:rPr>
          <w:rFonts w:ascii="Calibri" w:hAnsi="Calibri"/>
          <w:b w:val="0"/>
          <w:sz w:val="22"/>
          <w:szCs w:val="22"/>
        </w:rPr>
        <w:t>02</w:t>
      </w:r>
      <w:r w:rsidR="00D451DD" w:rsidRPr="00D451DD">
        <w:rPr>
          <w:rFonts w:ascii="Calibri" w:hAnsi="Calibri"/>
          <w:b w:val="0"/>
          <w:sz w:val="22"/>
          <w:szCs w:val="22"/>
        </w:rPr>
        <w:t>3</w:t>
      </w:r>
      <w:r w:rsidRPr="00BD0EED">
        <w:rPr>
          <w:rFonts w:ascii="Calibri" w:hAnsi="Calibri"/>
          <w:b w:val="0"/>
          <w:sz w:val="22"/>
          <w:szCs w:val="22"/>
        </w:rPr>
        <w:t xml:space="preserve"> until the expiry or valid termination of the Agreement.</w:t>
      </w:r>
    </w:p>
    <w:p w14:paraId="33066670" w14:textId="77777777" w:rsidR="00CA159E" w:rsidRPr="00BD0EED" w:rsidRDefault="00CA159E" w:rsidP="00CA159E">
      <w:pPr>
        <w:pStyle w:val="Heading3"/>
        <w:spacing w:after="0" w:line="240" w:lineRule="auto"/>
        <w:rPr>
          <w:rFonts w:ascii="Calibri" w:hAnsi="Calibri"/>
          <w:sz w:val="22"/>
          <w:szCs w:val="22"/>
        </w:rPr>
      </w:pPr>
      <w:r w:rsidRPr="00BD0EED">
        <w:rPr>
          <w:rFonts w:ascii="Calibri" w:hAnsi="Calibri"/>
          <w:sz w:val="22"/>
          <w:szCs w:val="22"/>
        </w:rPr>
        <w:t>The nature and purpose of the Processing of Personal Data</w:t>
      </w:r>
    </w:p>
    <w:p w14:paraId="17949747" w14:textId="77777777" w:rsidR="00CA159E" w:rsidRPr="001B2CAB" w:rsidRDefault="00CA159E" w:rsidP="00CA159E">
      <w:pPr>
        <w:pStyle w:val="NumberedList2"/>
        <w:numPr>
          <w:ilvl w:val="0"/>
          <w:numId w:val="0"/>
        </w:numPr>
        <w:tabs>
          <w:tab w:val="left" w:pos="720"/>
        </w:tabs>
        <w:spacing w:after="0" w:line="240" w:lineRule="auto"/>
        <w:rPr>
          <w:rFonts w:ascii="Calibri" w:hAnsi="Calibri" w:cs="Arial"/>
        </w:rPr>
      </w:pPr>
      <w:r w:rsidRPr="001B2CAB">
        <w:rPr>
          <w:rFonts w:ascii="Calibri" w:hAnsi="Calibri" w:cs="Arial"/>
        </w:rPr>
        <w:t>The Processing Party shall carry out Processing of Personal Data on behalf of the Controller Party in re</w:t>
      </w:r>
      <w:r w:rsidR="00332A61">
        <w:rPr>
          <w:rFonts w:ascii="Calibri" w:hAnsi="Calibri" w:cs="Arial"/>
        </w:rPr>
        <w:t>spect of the relevant Services.</w:t>
      </w:r>
    </w:p>
    <w:p w14:paraId="3A7C484C" w14:textId="77777777" w:rsidR="00CA159E" w:rsidRPr="00BD0EED" w:rsidRDefault="00CA159E" w:rsidP="00CA159E">
      <w:pPr>
        <w:pStyle w:val="Heading3"/>
        <w:spacing w:after="0" w:line="240" w:lineRule="auto"/>
        <w:rPr>
          <w:rFonts w:ascii="Calibri" w:hAnsi="Calibri"/>
          <w:sz w:val="22"/>
          <w:szCs w:val="22"/>
        </w:rPr>
      </w:pPr>
      <w:r w:rsidRPr="00BD0EED">
        <w:rPr>
          <w:rFonts w:ascii="Calibri" w:hAnsi="Calibri"/>
          <w:sz w:val="22"/>
          <w:szCs w:val="22"/>
        </w:rPr>
        <w:t>The types of Personal Data to be Processed</w:t>
      </w:r>
    </w:p>
    <w:p w14:paraId="4CEE6CB7" w14:textId="77777777" w:rsidR="00CA159E" w:rsidRDefault="00CA159E" w:rsidP="00CA159E">
      <w:pPr>
        <w:pStyle w:val="BodyText1"/>
        <w:spacing w:after="0" w:line="240" w:lineRule="auto"/>
        <w:ind w:left="0"/>
        <w:rPr>
          <w:rFonts w:ascii="Calibri" w:hAnsi="Calibri" w:cs="Arial"/>
        </w:rPr>
      </w:pPr>
      <w:r w:rsidRPr="001B2CAB">
        <w:rPr>
          <w:rFonts w:ascii="Calibri" w:hAnsi="Calibri" w:cs="Arial"/>
        </w:rPr>
        <w:t xml:space="preserve">The following types of Personal Data will be processed by the Processing Party on behalf of the Controller Party when required to do so </w:t>
      </w:r>
      <w:proofErr w:type="gramStart"/>
      <w:r w:rsidRPr="001B2CAB">
        <w:rPr>
          <w:rFonts w:ascii="Calibri" w:hAnsi="Calibri" w:cs="Arial"/>
        </w:rPr>
        <w:t>in order to</w:t>
      </w:r>
      <w:proofErr w:type="gramEnd"/>
      <w:r w:rsidRPr="001B2CAB">
        <w:rPr>
          <w:rFonts w:ascii="Calibri" w:hAnsi="Calibri" w:cs="Arial"/>
        </w:rPr>
        <w:t xml:space="preserve"> provide the Services:</w:t>
      </w:r>
    </w:p>
    <w:p w14:paraId="71CD91E7" w14:textId="77777777" w:rsidR="00BD0EED" w:rsidRPr="001B2CAB" w:rsidRDefault="00BD0EED" w:rsidP="00CA159E">
      <w:pPr>
        <w:pStyle w:val="BodyText1"/>
        <w:spacing w:after="0" w:line="240" w:lineRule="auto"/>
        <w:ind w:left="0"/>
        <w:rPr>
          <w:rFonts w:ascii="Calibri" w:hAnsi="Calibri" w:cs="Arial"/>
        </w:rPr>
      </w:pPr>
    </w:p>
    <w:tbl>
      <w:tblPr>
        <w:tblW w:w="9688" w:type="dxa"/>
        <w:tblInd w:w="-142" w:type="dxa"/>
        <w:tblLook w:val="04A0" w:firstRow="1" w:lastRow="0" w:firstColumn="1" w:lastColumn="0" w:noHBand="0" w:noVBand="1"/>
      </w:tblPr>
      <w:tblGrid>
        <w:gridCol w:w="3121"/>
        <w:gridCol w:w="2476"/>
        <w:gridCol w:w="4091"/>
      </w:tblGrid>
      <w:tr w:rsidR="00BD0EED" w:rsidRPr="00BD0EED" w14:paraId="1B09620C" w14:textId="77777777" w:rsidTr="00DE618A">
        <w:trPr>
          <w:trHeight w:val="300"/>
        </w:trPr>
        <w:tc>
          <w:tcPr>
            <w:tcW w:w="3121" w:type="dxa"/>
            <w:tcBorders>
              <w:top w:val="nil"/>
              <w:left w:val="nil"/>
              <w:bottom w:val="nil"/>
              <w:right w:val="nil"/>
            </w:tcBorders>
            <w:vAlign w:val="center"/>
            <w:hideMark/>
          </w:tcPr>
          <w:p w14:paraId="76633A8F"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ULN</w:t>
            </w:r>
          </w:p>
        </w:tc>
        <w:tc>
          <w:tcPr>
            <w:tcW w:w="2476" w:type="dxa"/>
            <w:tcBorders>
              <w:top w:val="nil"/>
              <w:left w:val="nil"/>
              <w:bottom w:val="nil"/>
              <w:right w:val="nil"/>
            </w:tcBorders>
            <w:noWrap/>
            <w:vAlign w:val="bottom"/>
            <w:hideMark/>
          </w:tcPr>
          <w:p w14:paraId="57CA72AA"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Academic Year</w:t>
            </w:r>
          </w:p>
        </w:tc>
        <w:tc>
          <w:tcPr>
            <w:tcW w:w="4091" w:type="dxa"/>
            <w:tcBorders>
              <w:top w:val="nil"/>
              <w:left w:val="nil"/>
              <w:bottom w:val="nil"/>
              <w:right w:val="nil"/>
            </w:tcBorders>
            <w:noWrap/>
            <w:vAlign w:val="bottom"/>
            <w:hideMark/>
          </w:tcPr>
          <w:p w14:paraId="0C9DC132"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Fee Amount</w:t>
            </w:r>
          </w:p>
        </w:tc>
      </w:tr>
      <w:tr w:rsidR="00BD0EED" w:rsidRPr="00BD0EED" w14:paraId="2CCB6329" w14:textId="77777777" w:rsidTr="00DE618A">
        <w:trPr>
          <w:trHeight w:val="300"/>
        </w:trPr>
        <w:tc>
          <w:tcPr>
            <w:tcW w:w="3121" w:type="dxa"/>
            <w:tcBorders>
              <w:top w:val="nil"/>
              <w:left w:val="nil"/>
              <w:bottom w:val="nil"/>
              <w:right w:val="nil"/>
            </w:tcBorders>
            <w:vAlign w:val="center"/>
            <w:hideMark/>
          </w:tcPr>
          <w:p w14:paraId="520339C1"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CRN</w:t>
            </w:r>
          </w:p>
        </w:tc>
        <w:tc>
          <w:tcPr>
            <w:tcW w:w="2476" w:type="dxa"/>
            <w:tcBorders>
              <w:top w:val="nil"/>
              <w:left w:val="nil"/>
              <w:bottom w:val="nil"/>
              <w:right w:val="nil"/>
            </w:tcBorders>
            <w:vAlign w:val="center"/>
            <w:hideMark/>
          </w:tcPr>
          <w:p w14:paraId="60CB8152"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CoC Applied</w:t>
            </w:r>
          </w:p>
        </w:tc>
        <w:tc>
          <w:tcPr>
            <w:tcW w:w="4091" w:type="dxa"/>
            <w:tcBorders>
              <w:top w:val="nil"/>
              <w:left w:val="nil"/>
              <w:bottom w:val="nil"/>
              <w:right w:val="nil"/>
            </w:tcBorders>
            <w:noWrap/>
            <w:vAlign w:val="bottom"/>
            <w:hideMark/>
          </w:tcPr>
          <w:p w14:paraId="7A2D0951"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Loan Requested</w:t>
            </w:r>
          </w:p>
        </w:tc>
      </w:tr>
      <w:tr w:rsidR="00BD0EED" w:rsidRPr="00BD0EED" w14:paraId="28D8B7AF" w14:textId="77777777" w:rsidTr="00DE618A">
        <w:trPr>
          <w:trHeight w:val="300"/>
        </w:trPr>
        <w:tc>
          <w:tcPr>
            <w:tcW w:w="3121" w:type="dxa"/>
            <w:tcBorders>
              <w:top w:val="nil"/>
              <w:left w:val="nil"/>
              <w:bottom w:val="nil"/>
              <w:right w:val="nil"/>
            </w:tcBorders>
            <w:noWrap/>
            <w:vAlign w:val="bottom"/>
            <w:hideMark/>
          </w:tcPr>
          <w:p w14:paraId="11A7E3C1"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Date of birth</w:t>
            </w:r>
          </w:p>
        </w:tc>
        <w:tc>
          <w:tcPr>
            <w:tcW w:w="2476" w:type="dxa"/>
            <w:tcBorders>
              <w:top w:val="nil"/>
              <w:left w:val="nil"/>
              <w:bottom w:val="nil"/>
              <w:right w:val="nil"/>
            </w:tcBorders>
            <w:noWrap/>
            <w:vAlign w:val="bottom"/>
            <w:hideMark/>
          </w:tcPr>
          <w:p w14:paraId="70D91E01"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CoC Type Applied</w:t>
            </w:r>
          </w:p>
        </w:tc>
        <w:tc>
          <w:tcPr>
            <w:tcW w:w="4091" w:type="dxa"/>
            <w:tcBorders>
              <w:top w:val="nil"/>
              <w:left w:val="nil"/>
              <w:bottom w:val="nil"/>
              <w:right w:val="nil"/>
            </w:tcBorders>
            <w:noWrap/>
            <w:vAlign w:val="bottom"/>
            <w:hideMark/>
          </w:tcPr>
          <w:p w14:paraId="546103B9"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Entitlement Amount</w:t>
            </w:r>
          </w:p>
        </w:tc>
      </w:tr>
      <w:tr w:rsidR="00BD0EED" w:rsidRPr="00BD0EED" w14:paraId="437B13A7" w14:textId="77777777" w:rsidTr="00DE618A">
        <w:trPr>
          <w:trHeight w:val="300"/>
        </w:trPr>
        <w:tc>
          <w:tcPr>
            <w:tcW w:w="3121" w:type="dxa"/>
            <w:tcBorders>
              <w:top w:val="nil"/>
              <w:left w:val="nil"/>
              <w:bottom w:val="nil"/>
              <w:right w:val="nil"/>
            </w:tcBorders>
            <w:noWrap/>
            <w:vAlign w:val="bottom"/>
            <w:hideMark/>
          </w:tcPr>
          <w:p w14:paraId="1D0B887F"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Full Name</w:t>
            </w:r>
          </w:p>
        </w:tc>
        <w:tc>
          <w:tcPr>
            <w:tcW w:w="2476" w:type="dxa"/>
            <w:tcBorders>
              <w:top w:val="nil"/>
              <w:left w:val="nil"/>
              <w:bottom w:val="nil"/>
              <w:right w:val="nil"/>
            </w:tcBorders>
            <w:noWrap/>
            <w:vAlign w:val="bottom"/>
            <w:hideMark/>
          </w:tcPr>
          <w:p w14:paraId="5E803465"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Learning Aim Type</w:t>
            </w:r>
          </w:p>
        </w:tc>
        <w:tc>
          <w:tcPr>
            <w:tcW w:w="4091" w:type="dxa"/>
            <w:tcBorders>
              <w:top w:val="nil"/>
              <w:left w:val="nil"/>
              <w:bottom w:val="nil"/>
              <w:right w:val="nil"/>
            </w:tcBorders>
            <w:noWrap/>
            <w:vAlign w:val="bottom"/>
            <w:hideMark/>
          </w:tcPr>
          <w:p w14:paraId="7766F2BC"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Balance Payable</w:t>
            </w:r>
          </w:p>
        </w:tc>
      </w:tr>
      <w:tr w:rsidR="00BD0EED" w:rsidRPr="00BD0EED" w14:paraId="554B8561" w14:textId="77777777" w:rsidTr="00DE618A">
        <w:trPr>
          <w:trHeight w:val="300"/>
        </w:trPr>
        <w:tc>
          <w:tcPr>
            <w:tcW w:w="3121" w:type="dxa"/>
            <w:tcBorders>
              <w:top w:val="nil"/>
              <w:left w:val="nil"/>
              <w:bottom w:val="nil"/>
              <w:right w:val="nil"/>
            </w:tcBorders>
            <w:vAlign w:val="center"/>
            <w:hideMark/>
          </w:tcPr>
          <w:p w14:paraId="63ADC329"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Forename</w:t>
            </w:r>
          </w:p>
        </w:tc>
        <w:tc>
          <w:tcPr>
            <w:tcW w:w="2476" w:type="dxa"/>
            <w:tcBorders>
              <w:top w:val="nil"/>
              <w:left w:val="nil"/>
              <w:bottom w:val="nil"/>
              <w:right w:val="nil"/>
            </w:tcBorders>
            <w:noWrap/>
            <w:vAlign w:val="bottom"/>
            <w:hideMark/>
          </w:tcPr>
          <w:p w14:paraId="1C24DF67"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Learning Aim Level</w:t>
            </w:r>
          </w:p>
        </w:tc>
        <w:tc>
          <w:tcPr>
            <w:tcW w:w="4091" w:type="dxa"/>
            <w:tcBorders>
              <w:top w:val="nil"/>
              <w:left w:val="nil"/>
              <w:bottom w:val="nil"/>
              <w:right w:val="nil"/>
            </w:tcBorders>
            <w:noWrap/>
            <w:vAlign w:val="bottom"/>
            <w:hideMark/>
          </w:tcPr>
          <w:p w14:paraId="4D9B2E49"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Scheduled Payment Date</w:t>
            </w:r>
          </w:p>
        </w:tc>
      </w:tr>
      <w:tr w:rsidR="00BD0EED" w:rsidRPr="00BD0EED" w14:paraId="39357B9B" w14:textId="77777777" w:rsidTr="00DE618A">
        <w:trPr>
          <w:trHeight w:val="300"/>
        </w:trPr>
        <w:tc>
          <w:tcPr>
            <w:tcW w:w="3121" w:type="dxa"/>
            <w:tcBorders>
              <w:top w:val="nil"/>
              <w:left w:val="nil"/>
              <w:bottom w:val="nil"/>
              <w:right w:val="nil"/>
            </w:tcBorders>
            <w:noWrap/>
            <w:vAlign w:val="bottom"/>
            <w:hideMark/>
          </w:tcPr>
          <w:p w14:paraId="4D48B26E"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Surname</w:t>
            </w:r>
          </w:p>
        </w:tc>
        <w:tc>
          <w:tcPr>
            <w:tcW w:w="2476" w:type="dxa"/>
            <w:tcBorders>
              <w:top w:val="nil"/>
              <w:left w:val="nil"/>
              <w:bottom w:val="nil"/>
              <w:right w:val="nil"/>
            </w:tcBorders>
            <w:noWrap/>
            <w:vAlign w:val="bottom"/>
            <w:hideMark/>
          </w:tcPr>
          <w:p w14:paraId="78F1F7C8"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Learning Aim Description</w:t>
            </w:r>
          </w:p>
        </w:tc>
        <w:tc>
          <w:tcPr>
            <w:tcW w:w="4091" w:type="dxa"/>
            <w:tcBorders>
              <w:top w:val="nil"/>
              <w:left w:val="nil"/>
              <w:bottom w:val="nil"/>
              <w:right w:val="nil"/>
            </w:tcBorders>
            <w:noWrap/>
            <w:vAlign w:val="bottom"/>
            <w:hideMark/>
          </w:tcPr>
          <w:p w14:paraId="75BB9AFB"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Actual Payment Date</w:t>
            </w:r>
          </w:p>
        </w:tc>
      </w:tr>
      <w:tr w:rsidR="00BD0EED" w:rsidRPr="00BD0EED" w14:paraId="750D6A62" w14:textId="77777777" w:rsidTr="00DE618A">
        <w:trPr>
          <w:trHeight w:val="300"/>
        </w:trPr>
        <w:tc>
          <w:tcPr>
            <w:tcW w:w="3121" w:type="dxa"/>
            <w:tcBorders>
              <w:top w:val="nil"/>
              <w:left w:val="nil"/>
              <w:bottom w:val="nil"/>
              <w:right w:val="nil"/>
            </w:tcBorders>
            <w:noWrap/>
            <w:vAlign w:val="bottom"/>
            <w:hideMark/>
          </w:tcPr>
          <w:p w14:paraId="53D3BCDA"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Additional Learning Reference Number</w:t>
            </w:r>
          </w:p>
        </w:tc>
        <w:tc>
          <w:tcPr>
            <w:tcW w:w="2476" w:type="dxa"/>
            <w:tcBorders>
              <w:top w:val="nil"/>
              <w:left w:val="nil"/>
              <w:bottom w:val="nil"/>
              <w:right w:val="nil"/>
            </w:tcBorders>
            <w:noWrap/>
            <w:vAlign w:val="bottom"/>
            <w:hideMark/>
          </w:tcPr>
          <w:p w14:paraId="7D00E556"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Learning Aim Reference</w:t>
            </w:r>
          </w:p>
        </w:tc>
        <w:tc>
          <w:tcPr>
            <w:tcW w:w="4091" w:type="dxa"/>
            <w:tcBorders>
              <w:top w:val="nil"/>
              <w:left w:val="nil"/>
              <w:bottom w:val="nil"/>
              <w:right w:val="nil"/>
            </w:tcBorders>
            <w:noWrap/>
            <w:vAlign w:val="bottom"/>
            <w:hideMark/>
          </w:tcPr>
          <w:p w14:paraId="266B14E5"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Payment Amount</w:t>
            </w:r>
          </w:p>
        </w:tc>
      </w:tr>
      <w:tr w:rsidR="00BD0EED" w:rsidRPr="00BD0EED" w14:paraId="22040381" w14:textId="77777777" w:rsidTr="00DE618A">
        <w:trPr>
          <w:trHeight w:val="300"/>
        </w:trPr>
        <w:tc>
          <w:tcPr>
            <w:tcW w:w="3121" w:type="dxa"/>
            <w:tcBorders>
              <w:top w:val="nil"/>
              <w:left w:val="nil"/>
              <w:bottom w:val="nil"/>
              <w:right w:val="nil"/>
            </w:tcBorders>
            <w:noWrap/>
            <w:vAlign w:val="bottom"/>
            <w:hideMark/>
          </w:tcPr>
          <w:p w14:paraId="1EB71F99"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NINO Verified</w:t>
            </w:r>
          </w:p>
        </w:tc>
        <w:tc>
          <w:tcPr>
            <w:tcW w:w="2476" w:type="dxa"/>
            <w:tcBorders>
              <w:top w:val="nil"/>
              <w:left w:val="nil"/>
              <w:bottom w:val="nil"/>
              <w:right w:val="nil"/>
            </w:tcBorders>
            <w:noWrap/>
            <w:vAlign w:val="bottom"/>
            <w:hideMark/>
          </w:tcPr>
          <w:p w14:paraId="7243FCEE"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 xml:space="preserve">Learning Aim Start Date </w:t>
            </w:r>
          </w:p>
        </w:tc>
        <w:tc>
          <w:tcPr>
            <w:tcW w:w="4091" w:type="dxa"/>
            <w:tcBorders>
              <w:top w:val="nil"/>
              <w:left w:val="nil"/>
              <w:bottom w:val="nil"/>
              <w:right w:val="nil"/>
            </w:tcBorders>
            <w:noWrap/>
            <w:vAlign w:val="bottom"/>
            <w:hideMark/>
          </w:tcPr>
          <w:p w14:paraId="354B3A30"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Payment Status</w:t>
            </w:r>
          </w:p>
        </w:tc>
      </w:tr>
      <w:tr w:rsidR="00BD0EED" w:rsidRPr="00BD0EED" w14:paraId="19B65FBB" w14:textId="77777777" w:rsidTr="00DE618A">
        <w:trPr>
          <w:trHeight w:val="300"/>
        </w:trPr>
        <w:tc>
          <w:tcPr>
            <w:tcW w:w="3121" w:type="dxa"/>
            <w:tcBorders>
              <w:top w:val="nil"/>
              <w:left w:val="nil"/>
              <w:bottom w:val="nil"/>
              <w:right w:val="nil"/>
            </w:tcBorders>
            <w:noWrap/>
            <w:vAlign w:val="bottom"/>
            <w:hideMark/>
          </w:tcPr>
          <w:p w14:paraId="0F072AF5"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Application State</w:t>
            </w:r>
          </w:p>
        </w:tc>
        <w:tc>
          <w:tcPr>
            <w:tcW w:w="2476" w:type="dxa"/>
            <w:tcBorders>
              <w:top w:val="nil"/>
              <w:left w:val="nil"/>
              <w:bottom w:val="nil"/>
              <w:right w:val="nil"/>
            </w:tcBorders>
            <w:noWrap/>
            <w:vAlign w:val="bottom"/>
            <w:hideMark/>
          </w:tcPr>
          <w:p w14:paraId="2107AA3C"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 xml:space="preserve">Learning Aim End Date </w:t>
            </w:r>
          </w:p>
        </w:tc>
        <w:tc>
          <w:tcPr>
            <w:tcW w:w="4091" w:type="dxa"/>
            <w:tcBorders>
              <w:top w:val="nil"/>
              <w:left w:val="nil"/>
              <w:bottom w:val="nil"/>
              <w:right w:val="nil"/>
            </w:tcBorders>
            <w:noWrap/>
            <w:vAlign w:val="bottom"/>
            <w:hideMark/>
          </w:tcPr>
          <w:p w14:paraId="3E1A803C"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Payment Pended Reason</w:t>
            </w:r>
          </w:p>
        </w:tc>
      </w:tr>
      <w:tr w:rsidR="00BD0EED" w:rsidRPr="00BD0EED" w14:paraId="552F4B9F" w14:textId="77777777" w:rsidTr="00DE618A">
        <w:trPr>
          <w:trHeight w:val="300"/>
        </w:trPr>
        <w:tc>
          <w:tcPr>
            <w:tcW w:w="3121" w:type="dxa"/>
            <w:tcBorders>
              <w:top w:val="nil"/>
              <w:left w:val="nil"/>
              <w:bottom w:val="nil"/>
              <w:right w:val="nil"/>
            </w:tcBorders>
            <w:noWrap/>
            <w:vAlign w:val="bottom"/>
            <w:hideMark/>
          </w:tcPr>
          <w:p w14:paraId="04834BEC"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Application State Effective Date</w:t>
            </w:r>
          </w:p>
        </w:tc>
        <w:tc>
          <w:tcPr>
            <w:tcW w:w="2476" w:type="dxa"/>
            <w:tcBorders>
              <w:top w:val="nil"/>
              <w:left w:val="nil"/>
              <w:bottom w:val="nil"/>
              <w:right w:val="nil"/>
            </w:tcBorders>
            <w:noWrap/>
            <w:vAlign w:val="bottom"/>
            <w:hideMark/>
          </w:tcPr>
          <w:p w14:paraId="3C045F0C"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Course Trainer</w:t>
            </w:r>
          </w:p>
        </w:tc>
        <w:tc>
          <w:tcPr>
            <w:tcW w:w="4091" w:type="dxa"/>
            <w:tcBorders>
              <w:top w:val="nil"/>
              <w:left w:val="nil"/>
              <w:bottom w:val="nil"/>
              <w:right w:val="nil"/>
            </w:tcBorders>
            <w:noWrap/>
            <w:vAlign w:val="bottom"/>
            <w:hideMark/>
          </w:tcPr>
          <w:p w14:paraId="0EBF1FB0"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Attendance Confirmation Date</w:t>
            </w:r>
          </w:p>
        </w:tc>
      </w:tr>
      <w:tr w:rsidR="00BD0EED" w:rsidRPr="00BD0EED" w14:paraId="6F855C19" w14:textId="77777777" w:rsidTr="00DE618A">
        <w:trPr>
          <w:trHeight w:val="300"/>
        </w:trPr>
        <w:tc>
          <w:tcPr>
            <w:tcW w:w="3121" w:type="dxa"/>
            <w:tcBorders>
              <w:top w:val="nil"/>
              <w:left w:val="nil"/>
              <w:bottom w:val="nil"/>
              <w:right w:val="nil"/>
            </w:tcBorders>
            <w:noWrap/>
            <w:vAlign w:val="bottom"/>
            <w:hideMark/>
          </w:tcPr>
          <w:p w14:paraId="127504CE"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Application State Reason</w:t>
            </w:r>
          </w:p>
        </w:tc>
        <w:tc>
          <w:tcPr>
            <w:tcW w:w="2476" w:type="dxa"/>
            <w:tcBorders>
              <w:top w:val="nil"/>
              <w:left w:val="nil"/>
              <w:bottom w:val="nil"/>
              <w:right w:val="nil"/>
            </w:tcBorders>
            <w:noWrap/>
            <w:vAlign w:val="bottom"/>
            <w:hideMark/>
          </w:tcPr>
          <w:p w14:paraId="2E4617D9"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Course Location</w:t>
            </w:r>
          </w:p>
        </w:tc>
        <w:tc>
          <w:tcPr>
            <w:tcW w:w="4091" w:type="dxa"/>
            <w:tcBorders>
              <w:top w:val="nil"/>
              <w:left w:val="nil"/>
              <w:bottom w:val="nil"/>
              <w:right w:val="nil"/>
            </w:tcBorders>
            <w:noWrap/>
            <w:vAlign w:val="bottom"/>
            <w:hideMark/>
          </w:tcPr>
          <w:p w14:paraId="520D9E79"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Attendance Confirmation Status</w:t>
            </w:r>
          </w:p>
        </w:tc>
      </w:tr>
      <w:tr w:rsidR="00BD0EED" w:rsidRPr="00BD0EED" w14:paraId="7ADF1DFB" w14:textId="77777777" w:rsidTr="00DE618A">
        <w:trPr>
          <w:trHeight w:val="300"/>
        </w:trPr>
        <w:tc>
          <w:tcPr>
            <w:tcW w:w="3121" w:type="dxa"/>
            <w:tcBorders>
              <w:top w:val="nil"/>
              <w:left w:val="nil"/>
              <w:bottom w:val="nil"/>
              <w:right w:val="nil"/>
            </w:tcBorders>
            <w:noWrap/>
            <w:vAlign w:val="bottom"/>
            <w:hideMark/>
          </w:tcPr>
          <w:p w14:paraId="6A2B2A9C"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Application State Effective From</w:t>
            </w:r>
          </w:p>
        </w:tc>
        <w:tc>
          <w:tcPr>
            <w:tcW w:w="2476" w:type="dxa"/>
            <w:tcBorders>
              <w:top w:val="nil"/>
              <w:left w:val="nil"/>
              <w:bottom w:val="nil"/>
              <w:right w:val="nil"/>
            </w:tcBorders>
            <w:noWrap/>
            <w:vAlign w:val="bottom"/>
            <w:hideMark/>
          </w:tcPr>
          <w:p w14:paraId="150E8282"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Group Name</w:t>
            </w:r>
          </w:p>
        </w:tc>
        <w:tc>
          <w:tcPr>
            <w:tcW w:w="4091" w:type="dxa"/>
            <w:tcBorders>
              <w:top w:val="nil"/>
              <w:left w:val="nil"/>
              <w:bottom w:val="nil"/>
              <w:right w:val="nil"/>
            </w:tcBorders>
            <w:noWrap/>
            <w:vAlign w:val="bottom"/>
            <w:hideMark/>
          </w:tcPr>
          <w:p w14:paraId="68B174EA"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Attendance Confirmation Submitted By</w:t>
            </w:r>
          </w:p>
        </w:tc>
      </w:tr>
      <w:tr w:rsidR="00BD0EED" w:rsidRPr="00BD0EED" w14:paraId="09F2AD66" w14:textId="77777777" w:rsidTr="00DE618A">
        <w:trPr>
          <w:trHeight w:val="300"/>
        </w:trPr>
        <w:tc>
          <w:tcPr>
            <w:tcW w:w="3121" w:type="dxa"/>
            <w:tcBorders>
              <w:top w:val="nil"/>
              <w:left w:val="nil"/>
              <w:bottom w:val="nil"/>
              <w:right w:val="nil"/>
            </w:tcBorders>
            <w:noWrap/>
            <w:vAlign w:val="bottom"/>
            <w:hideMark/>
          </w:tcPr>
          <w:p w14:paraId="5C8E1261"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Application State Effective To</w:t>
            </w:r>
          </w:p>
        </w:tc>
        <w:tc>
          <w:tcPr>
            <w:tcW w:w="2476" w:type="dxa"/>
            <w:tcBorders>
              <w:top w:val="nil"/>
              <w:left w:val="nil"/>
              <w:bottom w:val="nil"/>
              <w:right w:val="nil"/>
            </w:tcBorders>
            <w:noWrap/>
            <w:vAlign w:val="bottom"/>
            <w:hideMark/>
          </w:tcPr>
          <w:p w14:paraId="5163F82A"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CoC Submitted By</w:t>
            </w:r>
          </w:p>
        </w:tc>
        <w:tc>
          <w:tcPr>
            <w:tcW w:w="4091" w:type="dxa"/>
            <w:tcBorders>
              <w:top w:val="nil"/>
              <w:left w:val="nil"/>
              <w:bottom w:val="nil"/>
              <w:right w:val="nil"/>
            </w:tcBorders>
            <w:noWrap/>
            <w:vAlign w:val="bottom"/>
            <w:hideMark/>
          </w:tcPr>
          <w:p w14:paraId="033456CD" w14:textId="77777777" w:rsidR="00BD0EED" w:rsidRPr="00BD0EED" w:rsidRDefault="00BD0EED" w:rsidP="00234C28">
            <w:pPr>
              <w:spacing w:after="0" w:line="240" w:lineRule="auto"/>
              <w:rPr>
                <w:rFonts w:eastAsia="Times New Roman"/>
                <w:color w:val="000000"/>
                <w:lang w:eastAsia="en-GB"/>
              </w:rPr>
            </w:pPr>
          </w:p>
        </w:tc>
      </w:tr>
      <w:tr w:rsidR="00BD0EED" w:rsidRPr="00BD0EED" w14:paraId="433FA14E" w14:textId="77777777" w:rsidTr="00DE618A">
        <w:trPr>
          <w:trHeight w:val="300"/>
        </w:trPr>
        <w:tc>
          <w:tcPr>
            <w:tcW w:w="3121" w:type="dxa"/>
            <w:tcBorders>
              <w:top w:val="nil"/>
              <w:left w:val="nil"/>
              <w:bottom w:val="nil"/>
              <w:right w:val="nil"/>
            </w:tcBorders>
            <w:noWrap/>
            <w:vAlign w:val="bottom"/>
            <w:hideMark/>
          </w:tcPr>
          <w:p w14:paraId="3DF2DB01"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Application State Last Updated By</w:t>
            </w:r>
          </w:p>
        </w:tc>
        <w:tc>
          <w:tcPr>
            <w:tcW w:w="2476" w:type="dxa"/>
            <w:tcBorders>
              <w:top w:val="nil"/>
              <w:left w:val="nil"/>
              <w:bottom w:val="nil"/>
              <w:right w:val="nil"/>
            </w:tcBorders>
            <w:noWrap/>
            <w:vAlign w:val="bottom"/>
            <w:hideMark/>
          </w:tcPr>
          <w:p w14:paraId="28C881A2"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CoC Submitted Date</w:t>
            </w:r>
          </w:p>
        </w:tc>
        <w:tc>
          <w:tcPr>
            <w:tcW w:w="4091" w:type="dxa"/>
            <w:tcBorders>
              <w:top w:val="nil"/>
              <w:left w:val="nil"/>
              <w:bottom w:val="nil"/>
              <w:right w:val="nil"/>
            </w:tcBorders>
            <w:vAlign w:val="center"/>
            <w:hideMark/>
          </w:tcPr>
          <w:p w14:paraId="2F21EAF6" w14:textId="77777777" w:rsidR="00BD0EED" w:rsidRPr="00BD0EED" w:rsidRDefault="00BD0EED" w:rsidP="00234C28">
            <w:pPr>
              <w:spacing w:after="0" w:line="240" w:lineRule="auto"/>
              <w:rPr>
                <w:rFonts w:eastAsia="Times New Roman"/>
                <w:color w:val="000000"/>
                <w:lang w:eastAsia="en-GB"/>
              </w:rPr>
            </w:pPr>
          </w:p>
        </w:tc>
      </w:tr>
      <w:tr w:rsidR="00BD0EED" w:rsidRPr="00BD0EED" w14:paraId="21983714" w14:textId="77777777" w:rsidTr="00DE618A">
        <w:trPr>
          <w:trHeight w:val="300"/>
        </w:trPr>
        <w:tc>
          <w:tcPr>
            <w:tcW w:w="3121" w:type="dxa"/>
            <w:tcBorders>
              <w:top w:val="nil"/>
              <w:left w:val="nil"/>
              <w:bottom w:val="nil"/>
              <w:right w:val="nil"/>
            </w:tcBorders>
            <w:noWrap/>
            <w:vAlign w:val="bottom"/>
            <w:hideMark/>
          </w:tcPr>
          <w:p w14:paraId="7B1C012D"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Application Id</w:t>
            </w:r>
          </w:p>
        </w:tc>
        <w:tc>
          <w:tcPr>
            <w:tcW w:w="2476" w:type="dxa"/>
            <w:tcBorders>
              <w:top w:val="nil"/>
              <w:left w:val="nil"/>
              <w:bottom w:val="nil"/>
              <w:right w:val="nil"/>
            </w:tcBorders>
            <w:noWrap/>
            <w:vAlign w:val="bottom"/>
            <w:hideMark/>
          </w:tcPr>
          <w:p w14:paraId="7C66255D"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CoC Effective Date</w:t>
            </w:r>
          </w:p>
        </w:tc>
        <w:tc>
          <w:tcPr>
            <w:tcW w:w="4091" w:type="dxa"/>
            <w:tcBorders>
              <w:top w:val="nil"/>
              <w:left w:val="nil"/>
              <w:bottom w:val="nil"/>
              <w:right w:val="nil"/>
            </w:tcBorders>
            <w:noWrap/>
            <w:vAlign w:val="bottom"/>
            <w:hideMark/>
          </w:tcPr>
          <w:p w14:paraId="75B4511A" w14:textId="77777777" w:rsidR="00BD0EED" w:rsidRPr="00BD0EED" w:rsidRDefault="00BD0EED" w:rsidP="00234C28">
            <w:pPr>
              <w:spacing w:after="0" w:line="240" w:lineRule="auto"/>
              <w:rPr>
                <w:rFonts w:eastAsia="Times New Roman"/>
                <w:color w:val="000000"/>
                <w:lang w:eastAsia="en-GB"/>
              </w:rPr>
            </w:pPr>
          </w:p>
        </w:tc>
      </w:tr>
      <w:tr w:rsidR="00BD0EED" w:rsidRPr="00BD0EED" w14:paraId="0AC74AA3" w14:textId="77777777" w:rsidTr="00DE618A">
        <w:trPr>
          <w:trHeight w:val="300"/>
        </w:trPr>
        <w:tc>
          <w:tcPr>
            <w:tcW w:w="3121" w:type="dxa"/>
            <w:tcBorders>
              <w:top w:val="nil"/>
              <w:left w:val="nil"/>
              <w:bottom w:val="nil"/>
              <w:right w:val="nil"/>
            </w:tcBorders>
            <w:noWrap/>
            <w:vAlign w:val="bottom"/>
            <w:hideMark/>
          </w:tcPr>
          <w:p w14:paraId="6785ABA4"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Sex</w:t>
            </w:r>
          </w:p>
        </w:tc>
        <w:tc>
          <w:tcPr>
            <w:tcW w:w="2476" w:type="dxa"/>
            <w:tcBorders>
              <w:top w:val="nil"/>
              <w:left w:val="nil"/>
              <w:bottom w:val="nil"/>
              <w:right w:val="nil"/>
            </w:tcBorders>
            <w:noWrap/>
            <w:vAlign w:val="bottom"/>
            <w:hideMark/>
          </w:tcPr>
          <w:p w14:paraId="0E16A752"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CoC Status</w:t>
            </w:r>
          </w:p>
        </w:tc>
        <w:tc>
          <w:tcPr>
            <w:tcW w:w="4091" w:type="dxa"/>
            <w:tcBorders>
              <w:top w:val="nil"/>
              <w:left w:val="nil"/>
              <w:bottom w:val="nil"/>
              <w:right w:val="nil"/>
            </w:tcBorders>
            <w:noWrap/>
            <w:vAlign w:val="bottom"/>
            <w:hideMark/>
          </w:tcPr>
          <w:p w14:paraId="161DA81E" w14:textId="77777777" w:rsidR="00BD0EED" w:rsidRPr="00BD0EED" w:rsidRDefault="00BD0EED" w:rsidP="00234C28">
            <w:pPr>
              <w:spacing w:after="0" w:line="240" w:lineRule="auto"/>
              <w:rPr>
                <w:rFonts w:eastAsia="Times New Roman"/>
                <w:color w:val="000000"/>
                <w:lang w:eastAsia="en-GB"/>
              </w:rPr>
            </w:pPr>
          </w:p>
        </w:tc>
      </w:tr>
      <w:tr w:rsidR="00BD0EED" w:rsidRPr="00BD0EED" w14:paraId="2FCE2625" w14:textId="77777777" w:rsidTr="00DE618A">
        <w:trPr>
          <w:trHeight w:val="300"/>
        </w:trPr>
        <w:tc>
          <w:tcPr>
            <w:tcW w:w="3121" w:type="dxa"/>
            <w:tcBorders>
              <w:top w:val="nil"/>
              <w:left w:val="nil"/>
              <w:bottom w:val="nil"/>
              <w:right w:val="nil"/>
            </w:tcBorders>
            <w:noWrap/>
            <w:vAlign w:val="bottom"/>
            <w:hideMark/>
          </w:tcPr>
          <w:p w14:paraId="1A870A7C"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Address (lines 1 to 3)</w:t>
            </w:r>
          </w:p>
        </w:tc>
        <w:tc>
          <w:tcPr>
            <w:tcW w:w="2476" w:type="dxa"/>
            <w:tcBorders>
              <w:top w:val="nil"/>
              <w:left w:val="nil"/>
              <w:bottom w:val="nil"/>
              <w:right w:val="nil"/>
            </w:tcBorders>
            <w:noWrap/>
            <w:vAlign w:val="bottom"/>
            <w:hideMark/>
          </w:tcPr>
          <w:p w14:paraId="49AA0486"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CoC Financial Year</w:t>
            </w:r>
          </w:p>
        </w:tc>
        <w:tc>
          <w:tcPr>
            <w:tcW w:w="4091" w:type="dxa"/>
            <w:tcBorders>
              <w:top w:val="nil"/>
              <w:left w:val="nil"/>
              <w:bottom w:val="nil"/>
              <w:right w:val="nil"/>
            </w:tcBorders>
            <w:noWrap/>
            <w:vAlign w:val="bottom"/>
            <w:hideMark/>
          </w:tcPr>
          <w:p w14:paraId="1A7C5B7A" w14:textId="77777777" w:rsidR="00BD0EED" w:rsidRPr="00BD0EED" w:rsidRDefault="00BD0EED" w:rsidP="00234C28">
            <w:pPr>
              <w:spacing w:after="0" w:line="240" w:lineRule="auto"/>
              <w:rPr>
                <w:rFonts w:eastAsia="Times New Roman"/>
                <w:color w:val="000000"/>
                <w:lang w:eastAsia="en-GB"/>
              </w:rPr>
            </w:pPr>
          </w:p>
        </w:tc>
      </w:tr>
      <w:tr w:rsidR="00BD0EED" w:rsidRPr="00BD0EED" w14:paraId="60B644ED" w14:textId="77777777" w:rsidTr="00DE618A">
        <w:trPr>
          <w:trHeight w:val="300"/>
        </w:trPr>
        <w:tc>
          <w:tcPr>
            <w:tcW w:w="3121" w:type="dxa"/>
            <w:tcBorders>
              <w:top w:val="nil"/>
              <w:left w:val="nil"/>
              <w:bottom w:val="nil"/>
              <w:right w:val="nil"/>
            </w:tcBorders>
            <w:noWrap/>
            <w:vAlign w:val="bottom"/>
            <w:hideMark/>
          </w:tcPr>
          <w:p w14:paraId="129A3695"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Town</w:t>
            </w:r>
          </w:p>
        </w:tc>
        <w:tc>
          <w:tcPr>
            <w:tcW w:w="2476" w:type="dxa"/>
            <w:tcBorders>
              <w:top w:val="nil"/>
              <w:left w:val="nil"/>
              <w:bottom w:val="nil"/>
              <w:right w:val="nil"/>
            </w:tcBorders>
            <w:vAlign w:val="center"/>
            <w:hideMark/>
          </w:tcPr>
          <w:p w14:paraId="412C9D23" w14:textId="77777777" w:rsidR="00BD0EED" w:rsidRPr="00BD0EED" w:rsidRDefault="00BD0EED" w:rsidP="00234C28">
            <w:pPr>
              <w:spacing w:after="0" w:line="240" w:lineRule="auto"/>
              <w:rPr>
                <w:rFonts w:eastAsia="Times New Roman"/>
                <w:color w:val="000000"/>
                <w:lang w:eastAsia="en-GB"/>
              </w:rPr>
            </w:pPr>
          </w:p>
        </w:tc>
        <w:tc>
          <w:tcPr>
            <w:tcW w:w="4091" w:type="dxa"/>
            <w:tcBorders>
              <w:top w:val="nil"/>
              <w:left w:val="nil"/>
              <w:bottom w:val="nil"/>
              <w:right w:val="nil"/>
            </w:tcBorders>
            <w:noWrap/>
            <w:vAlign w:val="bottom"/>
            <w:hideMark/>
          </w:tcPr>
          <w:p w14:paraId="67952B98" w14:textId="77777777" w:rsidR="00BD0EED" w:rsidRPr="00BD0EED" w:rsidRDefault="00BD0EED" w:rsidP="00234C28">
            <w:pPr>
              <w:spacing w:after="0" w:line="240" w:lineRule="auto"/>
              <w:rPr>
                <w:rFonts w:eastAsia="Times New Roman"/>
                <w:color w:val="000000"/>
                <w:lang w:eastAsia="en-GB"/>
              </w:rPr>
            </w:pPr>
          </w:p>
        </w:tc>
      </w:tr>
      <w:tr w:rsidR="00BD0EED" w:rsidRPr="00BD0EED" w14:paraId="091B52EF" w14:textId="77777777" w:rsidTr="00DE618A">
        <w:trPr>
          <w:trHeight w:val="300"/>
        </w:trPr>
        <w:tc>
          <w:tcPr>
            <w:tcW w:w="3121" w:type="dxa"/>
            <w:tcBorders>
              <w:top w:val="nil"/>
              <w:left w:val="nil"/>
              <w:bottom w:val="nil"/>
              <w:right w:val="nil"/>
            </w:tcBorders>
            <w:noWrap/>
            <w:vAlign w:val="bottom"/>
            <w:hideMark/>
          </w:tcPr>
          <w:p w14:paraId="4B7F28B7"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County</w:t>
            </w:r>
          </w:p>
        </w:tc>
        <w:tc>
          <w:tcPr>
            <w:tcW w:w="2476" w:type="dxa"/>
            <w:tcBorders>
              <w:top w:val="nil"/>
              <w:left w:val="nil"/>
              <w:bottom w:val="nil"/>
              <w:right w:val="nil"/>
            </w:tcBorders>
            <w:vAlign w:val="center"/>
            <w:hideMark/>
          </w:tcPr>
          <w:p w14:paraId="6849CE8B" w14:textId="77777777" w:rsidR="00BD0EED" w:rsidRPr="00BD0EED" w:rsidRDefault="00BD0EED" w:rsidP="00234C28">
            <w:pPr>
              <w:spacing w:after="0" w:line="240" w:lineRule="auto"/>
              <w:rPr>
                <w:rFonts w:eastAsia="Times New Roman"/>
                <w:color w:val="000000"/>
                <w:lang w:eastAsia="en-GB"/>
              </w:rPr>
            </w:pPr>
          </w:p>
        </w:tc>
        <w:tc>
          <w:tcPr>
            <w:tcW w:w="4091" w:type="dxa"/>
            <w:tcBorders>
              <w:top w:val="nil"/>
              <w:left w:val="nil"/>
              <w:bottom w:val="nil"/>
              <w:right w:val="nil"/>
            </w:tcBorders>
            <w:noWrap/>
            <w:vAlign w:val="bottom"/>
            <w:hideMark/>
          </w:tcPr>
          <w:p w14:paraId="72859112" w14:textId="77777777" w:rsidR="00BD0EED" w:rsidRPr="00BD0EED" w:rsidRDefault="00BD0EED" w:rsidP="00234C28">
            <w:pPr>
              <w:spacing w:after="0" w:line="240" w:lineRule="auto"/>
              <w:rPr>
                <w:rFonts w:eastAsia="Times New Roman"/>
                <w:color w:val="000000"/>
                <w:lang w:eastAsia="en-GB"/>
              </w:rPr>
            </w:pPr>
          </w:p>
        </w:tc>
      </w:tr>
      <w:tr w:rsidR="00BD0EED" w:rsidRPr="00BD0EED" w14:paraId="4C88CE75" w14:textId="77777777" w:rsidTr="00DE618A">
        <w:trPr>
          <w:trHeight w:val="300"/>
        </w:trPr>
        <w:tc>
          <w:tcPr>
            <w:tcW w:w="3121" w:type="dxa"/>
            <w:tcBorders>
              <w:top w:val="nil"/>
              <w:left w:val="nil"/>
              <w:bottom w:val="nil"/>
              <w:right w:val="nil"/>
            </w:tcBorders>
            <w:noWrap/>
            <w:vAlign w:val="bottom"/>
            <w:hideMark/>
          </w:tcPr>
          <w:p w14:paraId="784943CF"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Postcode</w:t>
            </w:r>
          </w:p>
        </w:tc>
        <w:tc>
          <w:tcPr>
            <w:tcW w:w="2476" w:type="dxa"/>
            <w:tcBorders>
              <w:top w:val="nil"/>
              <w:left w:val="nil"/>
              <w:bottom w:val="nil"/>
              <w:right w:val="nil"/>
            </w:tcBorders>
            <w:vAlign w:val="center"/>
            <w:hideMark/>
          </w:tcPr>
          <w:p w14:paraId="2DBB43C0" w14:textId="77777777" w:rsidR="00BD0EED" w:rsidRPr="00BD0EED" w:rsidRDefault="00BD0EED" w:rsidP="00234C28">
            <w:pPr>
              <w:spacing w:after="0" w:line="240" w:lineRule="auto"/>
              <w:rPr>
                <w:rFonts w:eastAsia="Times New Roman"/>
                <w:color w:val="000000"/>
                <w:lang w:eastAsia="en-GB"/>
              </w:rPr>
            </w:pPr>
          </w:p>
        </w:tc>
        <w:tc>
          <w:tcPr>
            <w:tcW w:w="4091" w:type="dxa"/>
            <w:tcBorders>
              <w:top w:val="nil"/>
              <w:left w:val="nil"/>
              <w:bottom w:val="nil"/>
              <w:right w:val="nil"/>
            </w:tcBorders>
            <w:noWrap/>
            <w:vAlign w:val="bottom"/>
            <w:hideMark/>
          </w:tcPr>
          <w:p w14:paraId="0422F7CB" w14:textId="77777777" w:rsidR="00BD0EED" w:rsidRPr="00BD0EED" w:rsidRDefault="00BD0EED" w:rsidP="00234C28">
            <w:pPr>
              <w:spacing w:after="0" w:line="240" w:lineRule="auto"/>
              <w:rPr>
                <w:rFonts w:eastAsia="Times New Roman"/>
                <w:color w:val="000000"/>
                <w:lang w:eastAsia="en-GB"/>
              </w:rPr>
            </w:pPr>
          </w:p>
        </w:tc>
      </w:tr>
      <w:tr w:rsidR="00BD0EED" w:rsidRPr="00BD0EED" w14:paraId="56D7514D" w14:textId="77777777" w:rsidTr="00DE618A">
        <w:trPr>
          <w:trHeight w:val="300"/>
        </w:trPr>
        <w:tc>
          <w:tcPr>
            <w:tcW w:w="3121" w:type="dxa"/>
            <w:tcBorders>
              <w:top w:val="nil"/>
              <w:left w:val="nil"/>
              <w:bottom w:val="nil"/>
              <w:right w:val="nil"/>
            </w:tcBorders>
            <w:noWrap/>
            <w:vAlign w:val="bottom"/>
            <w:hideMark/>
          </w:tcPr>
          <w:p w14:paraId="376542AF"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Auto Cancel Reason</w:t>
            </w:r>
          </w:p>
        </w:tc>
        <w:tc>
          <w:tcPr>
            <w:tcW w:w="2476" w:type="dxa"/>
            <w:tcBorders>
              <w:top w:val="nil"/>
              <w:left w:val="nil"/>
              <w:bottom w:val="nil"/>
              <w:right w:val="nil"/>
            </w:tcBorders>
            <w:vAlign w:val="center"/>
            <w:hideMark/>
          </w:tcPr>
          <w:p w14:paraId="42BC07CB" w14:textId="77777777" w:rsidR="00BD0EED" w:rsidRPr="00BD0EED" w:rsidRDefault="00BD0EED" w:rsidP="00234C28">
            <w:pPr>
              <w:spacing w:after="0" w:line="240" w:lineRule="auto"/>
              <w:rPr>
                <w:rFonts w:eastAsia="Times New Roman"/>
                <w:color w:val="000000"/>
                <w:lang w:eastAsia="en-GB"/>
              </w:rPr>
            </w:pPr>
          </w:p>
        </w:tc>
        <w:tc>
          <w:tcPr>
            <w:tcW w:w="4091" w:type="dxa"/>
            <w:tcBorders>
              <w:top w:val="nil"/>
              <w:left w:val="nil"/>
              <w:bottom w:val="nil"/>
              <w:right w:val="nil"/>
            </w:tcBorders>
            <w:noWrap/>
            <w:vAlign w:val="bottom"/>
            <w:hideMark/>
          </w:tcPr>
          <w:p w14:paraId="4283D6E1" w14:textId="77777777" w:rsidR="00BD0EED" w:rsidRPr="00BD0EED" w:rsidRDefault="00BD0EED" w:rsidP="00234C28">
            <w:pPr>
              <w:spacing w:after="0" w:line="240" w:lineRule="auto"/>
              <w:rPr>
                <w:rFonts w:eastAsia="Times New Roman"/>
                <w:color w:val="000000"/>
                <w:lang w:eastAsia="en-GB"/>
              </w:rPr>
            </w:pPr>
          </w:p>
        </w:tc>
      </w:tr>
      <w:tr w:rsidR="00BD0EED" w:rsidRPr="00BD0EED" w14:paraId="5C142C03" w14:textId="77777777" w:rsidTr="00DE618A">
        <w:trPr>
          <w:trHeight w:val="300"/>
        </w:trPr>
        <w:tc>
          <w:tcPr>
            <w:tcW w:w="3121" w:type="dxa"/>
            <w:tcBorders>
              <w:top w:val="nil"/>
              <w:left w:val="nil"/>
              <w:bottom w:val="nil"/>
              <w:right w:val="nil"/>
            </w:tcBorders>
            <w:noWrap/>
            <w:vAlign w:val="bottom"/>
            <w:hideMark/>
          </w:tcPr>
          <w:p w14:paraId="1D56CF77"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Auto Cancel Date</w:t>
            </w:r>
          </w:p>
        </w:tc>
        <w:tc>
          <w:tcPr>
            <w:tcW w:w="2476" w:type="dxa"/>
            <w:tcBorders>
              <w:top w:val="nil"/>
              <w:left w:val="nil"/>
              <w:bottom w:val="nil"/>
              <w:right w:val="nil"/>
            </w:tcBorders>
            <w:vAlign w:val="center"/>
            <w:hideMark/>
          </w:tcPr>
          <w:p w14:paraId="2661CF90" w14:textId="77777777" w:rsidR="00BD0EED" w:rsidRPr="00BD0EED" w:rsidRDefault="00BD0EED" w:rsidP="00234C28">
            <w:pPr>
              <w:spacing w:after="0" w:line="240" w:lineRule="auto"/>
              <w:rPr>
                <w:rFonts w:eastAsia="Times New Roman"/>
                <w:color w:val="000000"/>
                <w:lang w:eastAsia="en-GB"/>
              </w:rPr>
            </w:pPr>
          </w:p>
        </w:tc>
        <w:tc>
          <w:tcPr>
            <w:tcW w:w="4091" w:type="dxa"/>
            <w:tcBorders>
              <w:top w:val="nil"/>
              <w:left w:val="nil"/>
              <w:bottom w:val="nil"/>
              <w:right w:val="nil"/>
            </w:tcBorders>
            <w:noWrap/>
            <w:vAlign w:val="bottom"/>
            <w:hideMark/>
          </w:tcPr>
          <w:p w14:paraId="11649E28" w14:textId="77777777" w:rsidR="00BD0EED" w:rsidRPr="00BD0EED" w:rsidRDefault="00BD0EED" w:rsidP="00234C28">
            <w:pPr>
              <w:spacing w:after="0" w:line="240" w:lineRule="auto"/>
              <w:rPr>
                <w:rFonts w:eastAsia="Times New Roman"/>
                <w:color w:val="000000"/>
                <w:lang w:eastAsia="en-GB"/>
              </w:rPr>
            </w:pPr>
          </w:p>
        </w:tc>
      </w:tr>
      <w:tr w:rsidR="00BD0EED" w:rsidRPr="00BD0EED" w14:paraId="7D6555ED" w14:textId="77777777" w:rsidTr="00DE618A">
        <w:trPr>
          <w:trHeight w:val="300"/>
        </w:trPr>
        <w:tc>
          <w:tcPr>
            <w:tcW w:w="3121" w:type="dxa"/>
            <w:tcBorders>
              <w:top w:val="nil"/>
              <w:left w:val="nil"/>
              <w:bottom w:val="nil"/>
              <w:right w:val="nil"/>
            </w:tcBorders>
            <w:noWrap/>
            <w:vAlign w:val="bottom"/>
            <w:hideMark/>
          </w:tcPr>
          <w:p w14:paraId="0CE953DF"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Withdrawal Date</w:t>
            </w:r>
          </w:p>
        </w:tc>
        <w:tc>
          <w:tcPr>
            <w:tcW w:w="2476" w:type="dxa"/>
            <w:tcBorders>
              <w:top w:val="nil"/>
              <w:left w:val="nil"/>
              <w:bottom w:val="nil"/>
              <w:right w:val="nil"/>
            </w:tcBorders>
            <w:noWrap/>
            <w:vAlign w:val="bottom"/>
            <w:hideMark/>
          </w:tcPr>
          <w:p w14:paraId="6E435140" w14:textId="77777777" w:rsidR="00BD0EED" w:rsidRPr="00BD0EED" w:rsidRDefault="00BD0EED" w:rsidP="00234C28">
            <w:pPr>
              <w:spacing w:after="0" w:line="240" w:lineRule="auto"/>
              <w:rPr>
                <w:rFonts w:eastAsia="Times New Roman"/>
                <w:color w:val="000000"/>
                <w:lang w:eastAsia="en-GB"/>
              </w:rPr>
            </w:pPr>
          </w:p>
        </w:tc>
        <w:tc>
          <w:tcPr>
            <w:tcW w:w="4091" w:type="dxa"/>
            <w:tcBorders>
              <w:top w:val="nil"/>
              <w:left w:val="nil"/>
              <w:bottom w:val="nil"/>
              <w:right w:val="nil"/>
            </w:tcBorders>
            <w:noWrap/>
            <w:vAlign w:val="bottom"/>
            <w:hideMark/>
          </w:tcPr>
          <w:p w14:paraId="2790E9C8" w14:textId="77777777" w:rsidR="00BD0EED" w:rsidRPr="00BD0EED" w:rsidRDefault="00BD0EED" w:rsidP="00234C28">
            <w:pPr>
              <w:spacing w:after="0" w:line="240" w:lineRule="auto"/>
              <w:rPr>
                <w:rFonts w:eastAsia="Times New Roman"/>
                <w:color w:val="000000"/>
                <w:lang w:eastAsia="en-GB"/>
              </w:rPr>
            </w:pPr>
          </w:p>
        </w:tc>
      </w:tr>
      <w:tr w:rsidR="00BD0EED" w:rsidRPr="00BD0EED" w14:paraId="2DB2E4DB" w14:textId="77777777" w:rsidTr="00DE618A">
        <w:trPr>
          <w:trHeight w:val="87"/>
        </w:trPr>
        <w:tc>
          <w:tcPr>
            <w:tcW w:w="3121" w:type="dxa"/>
            <w:tcBorders>
              <w:top w:val="nil"/>
              <w:left w:val="nil"/>
              <w:bottom w:val="nil"/>
              <w:right w:val="nil"/>
            </w:tcBorders>
            <w:noWrap/>
            <w:vAlign w:val="bottom"/>
            <w:hideMark/>
          </w:tcPr>
          <w:p w14:paraId="339E4EBF"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Assessment Date</w:t>
            </w:r>
          </w:p>
        </w:tc>
        <w:tc>
          <w:tcPr>
            <w:tcW w:w="2476" w:type="dxa"/>
            <w:tcBorders>
              <w:top w:val="nil"/>
              <w:left w:val="nil"/>
              <w:bottom w:val="nil"/>
              <w:right w:val="nil"/>
            </w:tcBorders>
            <w:vAlign w:val="center"/>
            <w:hideMark/>
          </w:tcPr>
          <w:p w14:paraId="5B3FD3B8" w14:textId="77777777" w:rsidR="00BD0EED" w:rsidRPr="00BD0EED" w:rsidRDefault="00BD0EED" w:rsidP="00234C28">
            <w:pPr>
              <w:spacing w:after="0" w:line="240" w:lineRule="auto"/>
              <w:rPr>
                <w:rFonts w:eastAsia="Times New Roman"/>
                <w:color w:val="000000"/>
                <w:lang w:eastAsia="en-GB"/>
              </w:rPr>
            </w:pPr>
          </w:p>
        </w:tc>
        <w:tc>
          <w:tcPr>
            <w:tcW w:w="4091" w:type="dxa"/>
            <w:tcBorders>
              <w:top w:val="nil"/>
              <w:left w:val="nil"/>
              <w:bottom w:val="nil"/>
              <w:right w:val="nil"/>
            </w:tcBorders>
            <w:noWrap/>
            <w:vAlign w:val="bottom"/>
            <w:hideMark/>
          </w:tcPr>
          <w:p w14:paraId="3AAA2DFC" w14:textId="77777777" w:rsidR="00BD0EED" w:rsidRPr="00BD0EED" w:rsidRDefault="00BD0EED" w:rsidP="00234C28">
            <w:pPr>
              <w:spacing w:after="0" w:line="240" w:lineRule="auto"/>
              <w:rPr>
                <w:rFonts w:eastAsia="Times New Roman"/>
                <w:color w:val="000000"/>
                <w:lang w:eastAsia="en-GB"/>
              </w:rPr>
            </w:pPr>
          </w:p>
        </w:tc>
      </w:tr>
    </w:tbl>
    <w:p w14:paraId="430263E6" w14:textId="77777777" w:rsidR="00BD0EED" w:rsidRDefault="00BD0EED" w:rsidP="00CA159E">
      <w:pPr>
        <w:pStyle w:val="BodyText1"/>
        <w:spacing w:after="0" w:line="240" w:lineRule="auto"/>
        <w:ind w:left="0"/>
        <w:rPr>
          <w:rFonts w:ascii="Calibri" w:eastAsia="Calibri" w:hAnsi="Calibri"/>
          <w:lang w:eastAsia="en-US"/>
        </w:rPr>
      </w:pPr>
    </w:p>
    <w:p w14:paraId="4DBF4D30" w14:textId="77777777" w:rsidR="00DA2367" w:rsidRDefault="00DA2367" w:rsidP="00CA159E">
      <w:pPr>
        <w:pStyle w:val="BodyText1"/>
        <w:spacing w:after="0" w:line="240" w:lineRule="auto"/>
        <w:ind w:left="0"/>
        <w:rPr>
          <w:rFonts w:ascii="Calibri" w:eastAsia="Calibri" w:hAnsi="Calibri"/>
          <w:lang w:eastAsia="en-US"/>
        </w:rPr>
      </w:pPr>
    </w:p>
    <w:p w14:paraId="3F011416" w14:textId="77777777" w:rsidR="00DE319A" w:rsidRDefault="00DE319A" w:rsidP="00CA159E">
      <w:pPr>
        <w:pStyle w:val="BodyText1"/>
        <w:spacing w:after="0" w:line="240" w:lineRule="auto"/>
        <w:ind w:left="0"/>
        <w:rPr>
          <w:rFonts w:ascii="Calibri" w:hAnsi="Calibri" w:cs="Arial"/>
          <w:b/>
        </w:rPr>
      </w:pPr>
    </w:p>
    <w:p w14:paraId="276C6E2E" w14:textId="77777777" w:rsidR="00CA159E" w:rsidRPr="001B2CAB" w:rsidRDefault="00CA159E" w:rsidP="00CA159E">
      <w:pPr>
        <w:pStyle w:val="BodyText1"/>
        <w:spacing w:after="0" w:line="240" w:lineRule="auto"/>
        <w:ind w:left="0"/>
        <w:rPr>
          <w:rFonts w:ascii="Calibri" w:hAnsi="Calibri" w:cs="Arial"/>
          <w:b/>
        </w:rPr>
      </w:pPr>
      <w:r w:rsidRPr="001B2CAB">
        <w:rPr>
          <w:rFonts w:ascii="Calibri" w:hAnsi="Calibri" w:cs="Arial"/>
          <w:b/>
        </w:rPr>
        <w:t>The categories of Data Subject to whom the Personal Data relates</w:t>
      </w:r>
    </w:p>
    <w:p w14:paraId="6EF4E3C5" w14:textId="61EC65A6" w:rsidR="00CA159E" w:rsidRPr="001B2CAB" w:rsidRDefault="00CA159E" w:rsidP="001D586C">
      <w:pPr>
        <w:pStyle w:val="BodyText1"/>
        <w:spacing w:after="0" w:line="240" w:lineRule="auto"/>
        <w:ind w:left="0"/>
        <w:rPr>
          <w:rFonts w:cs="Arial"/>
          <w:color w:val="000000"/>
        </w:rPr>
      </w:pPr>
      <w:r w:rsidRPr="001B2CAB">
        <w:rPr>
          <w:rFonts w:ascii="Calibri" w:hAnsi="Calibri" w:cs="Arial"/>
        </w:rPr>
        <w:t>Personal Data relating to the following categories of Data Subjects will be processed on behalf of the Controller Party:</w:t>
      </w:r>
      <w:r w:rsidR="001D586C">
        <w:rPr>
          <w:rFonts w:ascii="Calibri" w:hAnsi="Calibri" w:cs="Arial"/>
        </w:rPr>
        <w:t xml:space="preserve"> </w:t>
      </w:r>
      <w:r w:rsidR="000A719F">
        <w:rPr>
          <w:rFonts w:ascii="Calibri" w:hAnsi="Calibri" w:cs="Arial"/>
        </w:rPr>
        <w:t>Learners engaged in studies at the provider’s institution who are in receipt of an advanced learner loan through SLC.</w:t>
      </w:r>
    </w:p>
    <w:p w14:paraId="43D2E085" w14:textId="77777777" w:rsidR="00CA159E" w:rsidRPr="001B2CAB" w:rsidRDefault="00CA159E" w:rsidP="00CA159E">
      <w:pPr>
        <w:pStyle w:val="BodyText1"/>
        <w:spacing w:after="0" w:line="240" w:lineRule="auto"/>
        <w:ind w:left="0"/>
        <w:rPr>
          <w:rFonts w:ascii="Calibri" w:hAnsi="Calibri" w:cs="Arial"/>
          <w:b/>
        </w:rPr>
      </w:pPr>
    </w:p>
    <w:p w14:paraId="0BFC3426" w14:textId="77777777" w:rsidR="00CA159E" w:rsidRPr="001B2CAB" w:rsidRDefault="00CA159E" w:rsidP="00CA159E">
      <w:pPr>
        <w:pStyle w:val="BodyText1"/>
        <w:spacing w:after="0" w:line="240" w:lineRule="auto"/>
        <w:ind w:left="0"/>
        <w:rPr>
          <w:rFonts w:ascii="Calibri" w:hAnsi="Calibri" w:cs="Arial"/>
          <w:b/>
        </w:rPr>
      </w:pPr>
      <w:r w:rsidRPr="001B2CAB">
        <w:rPr>
          <w:rFonts w:ascii="Calibri" w:hAnsi="Calibri" w:cs="Arial"/>
          <w:b/>
        </w:rPr>
        <w:t>The obligations and rights of the Controller Party</w:t>
      </w:r>
    </w:p>
    <w:p w14:paraId="65694382" w14:textId="77777777" w:rsidR="00CA159E" w:rsidRPr="001B2CAB" w:rsidRDefault="00CA159E" w:rsidP="00CA159E">
      <w:pPr>
        <w:pStyle w:val="BodyText1"/>
        <w:spacing w:after="0" w:line="240" w:lineRule="auto"/>
        <w:ind w:left="0"/>
        <w:rPr>
          <w:rFonts w:ascii="Calibri" w:hAnsi="Calibri" w:cs="Arial"/>
        </w:rPr>
      </w:pPr>
      <w:r w:rsidRPr="001B2CAB">
        <w:rPr>
          <w:rFonts w:ascii="Calibri" w:hAnsi="Calibri" w:cs="Arial"/>
        </w:rPr>
        <w:t xml:space="preserve">The obligations and rights of the Controller Party are set out in the Agreement and this </w:t>
      </w:r>
      <w:proofErr w:type="spellStart"/>
      <w:r w:rsidRPr="001B2CAB">
        <w:rPr>
          <w:rFonts w:ascii="Calibri" w:hAnsi="Calibri" w:cs="Arial"/>
        </w:rPr>
        <w:t>MoA</w:t>
      </w:r>
      <w:proofErr w:type="spellEnd"/>
      <w:r w:rsidRPr="001B2CAB">
        <w:rPr>
          <w:rFonts w:ascii="Calibri" w:hAnsi="Calibri" w:cs="Arial"/>
        </w:rPr>
        <w:t>.</w:t>
      </w:r>
    </w:p>
    <w:p w14:paraId="124FCACA" w14:textId="77777777" w:rsidR="00CA159E" w:rsidRPr="001B2CAB" w:rsidRDefault="00CA159E" w:rsidP="00CA159E">
      <w:pPr>
        <w:pStyle w:val="BodyText1"/>
        <w:spacing w:after="0" w:line="240" w:lineRule="auto"/>
        <w:ind w:left="0"/>
        <w:rPr>
          <w:rFonts w:ascii="Calibri" w:hAnsi="Calibri" w:cs="Arial"/>
          <w:sz w:val="20"/>
          <w:szCs w:val="20"/>
        </w:rPr>
      </w:pPr>
    </w:p>
    <w:p w14:paraId="1A2364D4" w14:textId="77777777" w:rsidR="00CA159E" w:rsidRDefault="00CA159E" w:rsidP="00CA159E">
      <w:pPr>
        <w:autoSpaceDE w:val="0"/>
        <w:autoSpaceDN w:val="0"/>
        <w:adjustRightInd w:val="0"/>
        <w:spacing w:after="0" w:line="360" w:lineRule="auto"/>
        <w:ind w:left="360" w:hanging="360"/>
        <w:rPr>
          <w:rFonts w:ascii="Arial" w:hAnsi="Arial" w:cs="Arial"/>
          <w:color w:val="000000"/>
          <w:sz w:val="20"/>
          <w:szCs w:val="20"/>
        </w:rPr>
      </w:pPr>
    </w:p>
    <w:p w14:paraId="5ADFCA64" w14:textId="77777777" w:rsidR="00CA159E" w:rsidRPr="00CA159E" w:rsidRDefault="00CA159E" w:rsidP="00CA159E"/>
    <w:p w14:paraId="56645311" w14:textId="77777777" w:rsidR="00F9557F" w:rsidRDefault="00F9557F"/>
    <w:sectPr w:rsidR="00F9557F" w:rsidSect="006312D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B0707" w14:textId="77777777" w:rsidR="00191B9B" w:rsidRDefault="00191B9B" w:rsidP="003740BD">
      <w:pPr>
        <w:spacing w:after="0" w:line="240" w:lineRule="auto"/>
      </w:pPr>
      <w:r>
        <w:separator/>
      </w:r>
    </w:p>
  </w:endnote>
  <w:endnote w:type="continuationSeparator" w:id="0">
    <w:p w14:paraId="5EE6786F" w14:textId="77777777" w:rsidR="00191B9B" w:rsidRDefault="00191B9B" w:rsidP="00374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STZho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BBBC1" w14:textId="77777777" w:rsidR="00346748" w:rsidRDefault="003467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A2D09" w14:textId="6FE81ABE" w:rsidR="005066EB" w:rsidRDefault="000466B4">
    <w:pPr>
      <w:pStyle w:val="Footer"/>
      <w:jc w:val="center"/>
    </w:pPr>
    <w:r>
      <w:rPr>
        <w:noProof/>
      </w:rPr>
      <mc:AlternateContent>
        <mc:Choice Requires="wps">
          <w:drawing>
            <wp:anchor distT="0" distB="0" distL="114300" distR="114300" simplePos="0" relativeHeight="251659264" behindDoc="0" locked="0" layoutInCell="0" allowOverlap="1" wp14:anchorId="3656E48F" wp14:editId="59702344">
              <wp:simplePos x="0" y="0"/>
              <wp:positionH relativeFrom="page">
                <wp:posOffset>0</wp:posOffset>
              </wp:positionH>
              <wp:positionV relativeFrom="page">
                <wp:posOffset>10227945</wp:posOffset>
              </wp:positionV>
              <wp:extent cx="7560310" cy="273050"/>
              <wp:effectExtent l="0" t="0" r="0" b="12700"/>
              <wp:wrapNone/>
              <wp:docPr id="2" name="MSIPCM0ef34f41be6b94fab59c0a36" descr="{&quot;HashCode&quot;:186224319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1D7497" w14:textId="48DD275D" w:rsidR="000466B4" w:rsidRPr="000466B4" w:rsidRDefault="000466B4" w:rsidP="000466B4">
                          <w:pPr>
                            <w:spacing w:after="0"/>
                            <w:jc w:val="center"/>
                            <w:rPr>
                              <w:rFonts w:cs="Calibri"/>
                              <w:color w:val="000000"/>
                              <w:sz w:val="18"/>
                            </w:rPr>
                          </w:pPr>
                          <w:r w:rsidRPr="000466B4">
                            <w:rPr>
                              <w:rFonts w:cs="Calibri"/>
                              <w:color w:val="000000"/>
                              <w:sz w:val="18"/>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56E48F" id="_x0000_t202" coordsize="21600,21600" o:spt="202" path="m,l,21600r21600,l21600,xe">
              <v:stroke joinstyle="miter"/>
              <v:path gradientshapeok="t" o:connecttype="rect"/>
            </v:shapetype>
            <v:shape id="MSIPCM0ef34f41be6b94fab59c0a36" o:spid="_x0000_s1027" type="#_x0000_t202" alt="{&quot;HashCode&quot;:1862243199,&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7B1D7497" w14:textId="48DD275D" w:rsidR="000466B4" w:rsidRPr="000466B4" w:rsidRDefault="000466B4" w:rsidP="000466B4">
                    <w:pPr>
                      <w:spacing w:after="0"/>
                      <w:jc w:val="center"/>
                      <w:rPr>
                        <w:rFonts w:cs="Calibri"/>
                        <w:color w:val="000000"/>
                        <w:sz w:val="18"/>
                      </w:rPr>
                    </w:pPr>
                    <w:r w:rsidRPr="000466B4">
                      <w:rPr>
                        <w:rFonts w:cs="Calibri"/>
                        <w:color w:val="000000"/>
                        <w:sz w:val="18"/>
                      </w:rPr>
                      <w:t>OFFICIAL</w:t>
                    </w:r>
                  </w:p>
                </w:txbxContent>
              </v:textbox>
              <w10:wrap anchorx="page" anchory="page"/>
            </v:shape>
          </w:pict>
        </mc:Fallback>
      </mc:AlternateContent>
    </w:r>
    <w:r w:rsidR="005066EB">
      <w:t xml:space="preserve">Page </w:t>
    </w:r>
    <w:r w:rsidR="001129EC">
      <w:fldChar w:fldCharType="begin"/>
    </w:r>
    <w:r w:rsidR="001129EC">
      <w:instrText xml:space="preserve"> PAGE   \* MERGEFORMAT </w:instrText>
    </w:r>
    <w:r w:rsidR="001129EC">
      <w:fldChar w:fldCharType="separate"/>
    </w:r>
    <w:r w:rsidR="00DF157D">
      <w:rPr>
        <w:noProof/>
      </w:rPr>
      <w:t>8</w:t>
    </w:r>
    <w:r w:rsidR="001129EC">
      <w:rPr>
        <w:noProof/>
      </w:rPr>
      <w:fldChar w:fldCharType="end"/>
    </w:r>
    <w:r w:rsidR="005066EB">
      <w:t xml:space="preserve"> of </w:t>
    </w:r>
    <w:fldSimple w:instr=" NUMPAGES   \* MERGEFORMAT ">
      <w:r w:rsidR="00DF157D">
        <w:rPr>
          <w:noProof/>
        </w:rPr>
        <w:t>14</w:t>
      </w:r>
    </w:fldSimple>
  </w:p>
  <w:p w14:paraId="758E82AA" w14:textId="77777777" w:rsidR="005066EB" w:rsidRDefault="005066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EA034" w14:textId="77777777" w:rsidR="00346748" w:rsidRDefault="00346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07238" w14:textId="77777777" w:rsidR="00191B9B" w:rsidRDefault="00191B9B" w:rsidP="003740BD">
      <w:pPr>
        <w:spacing w:after="0" w:line="240" w:lineRule="auto"/>
      </w:pPr>
      <w:r>
        <w:separator/>
      </w:r>
    </w:p>
  </w:footnote>
  <w:footnote w:type="continuationSeparator" w:id="0">
    <w:p w14:paraId="0D423275" w14:textId="77777777" w:rsidR="00191B9B" w:rsidRDefault="00191B9B" w:rsidP="00374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0F6E1" w14:textId="77777777" w:rsidR="00346748" w:rsidRDefault="003467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8A652" w14:textId="002928CA" w:rsidR="001129EC" w:rsidRDefault="000466B4">
    <w:pPr>
      <w:pStyle w:val="Header"/>
    </w:pPr>
    <w:r>
      <w:rPr>
        <w:noProof/>
      </w:rPr>
      <mc:AlternateContent>
        <mc:Choice Requires="wps">
          <w:drawing>
            <wp:anchor distT="0" distB="0" distL="114300" distR="114300" simplePos="0" relativeHeight="251660288" behindDoc="0" locked="0" layoutInCell="0" allowOverlap="1" wp14:anchorId="460E83B5" wp14:editId="70E726E0">
              <wp:simplePos x="0" y="0"/>
              <wp:positionH relativeFrom="page">
                <wp:posOffset>0</wp:posOffset>
              </wp:positionH>
              <wp:positionV relativeFrom="page">
                <wp:posOffset>190500</wp:posOffset>
              </wp:positionV>
              <wp:extent cx="7560310" cy="273050"/>
              <wp:effectExtent l="0" t="0" r="0" b="12700"/>
              <wp:wrapNone/>
              <wp:docPr id="5" name="MSIPCMb37846b4996c0761e5b694ae" descr="{&quot;HashCode&quot;:183827267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F16EC6" w14:textId="3592C501" w:rsidR="000466B4" w:rsidRPr="000466B4" w:rsidRDefault="000466B4" w:rsidP="000466B4">
                          <w:pPr>
                            <w:spacing w:after="0"/>
                            <w:jc w:val="center"/>
                            <w:rPr>
                              <w:rFonts w:cs="Calibri"/>
                              <w:color w:val="000000"/>
                            </w:rPr>
                          </w:pPr>
                          <w:r w:rsidRPr="000466B4">
                            <w:rPr>
                              <w:rFonts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60E83B5" id="_x0000_t202" coordsize="21600,21600" o:spt="202" path="m,l,21600r21600,l21600,xe">
              <v:stroke joinstyle="miter"/>
              <v:path gradientshapeok="t" o:connecttype="rect"/>
            </v:shapetype>
            <v:shape id="MSIPCMb37846b4996c0761e5b694ae" o:spid="_x0000_s1026" type="#_x0000_t202" alt="{&quot;HashCode&quot;:1838272672,&quot;Height&quot;:841.0,&quot;Width&quot;:595.0,&quot;Placement&quot;:&quot;Header&quot;,&quot;Index&quot;:&quot;Primary&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0DF16EC6" w14:textId="3592C501" w:rsidR="000466B4" w:rsidRPr="000466B4" w:rsidRDefault="000466B4" w:rsidP="000466B4">
                    <w:pPr>
                      <w:spacing w:after="0"/>
                      <w:jc w:val="center"/>
                      <w:rPr>
                        <w:rFonts w:cs="Calibri"/>
                        <w:color w:val="000000"/>
                      </w:rPr>
                    </w:pPr>
                    <w:r w:rsidRPr="000466B4">
                      <w:rPr>
                        <w:rFonts w:cs="Calibri"/>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4C633" w14:textId="77777777" w:rsidR="00346748" w:rsidRDefault="003467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B20652A"/>
    <w:lvl w:ilvl="0">
      <w:numFmt w:val="bullet"/>
      <w:lvlText w:val="*"/>
      <w:lvlJc w:val="left"/>
    </w:lvl>
  </w:abstractNum>
  <w:abstractNum w:abstractNumId="1" w15:restartNumberingAfterBreak="0">
    <w:nsid w:val="002712A7"/>
    <w:multiLevelType w:val="hybridMultilevel"/>
    <w:tmpl w:val="4CDAB8D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5E56A6"/>
    <w:multiLevelType w:val="hybridMultilevel"/>
    <w:tmpl w:val="FD2643A0"/>
    <w:lvl w:ilvl="0" w:tplc="937C9A24">
      <w:start w:val="9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D736D8"/>
    <w:multiLevelType w:val="multilevel"/>
    <w:tmpl w:val="9ECCA01E"/>
    <w:styleLink w:val="SchedulePart"/>
    <w:lvl w:ilvl="0">
      <w:start w:val="1"/>
      <w:numFmt w:val="decimal"/>
      <w:pStyle w:val="PartHeading"/>
      <w:suff w:val="nothing"/>
      <w:lvlText w:val="Part %1"/>
      <w:lvlJc w:val="left"/>
      <w:pPr>
        <w:ind w:left="0" w:firstLine="0"/>
      </w:pPr>
    </w:lvl>
    <w:lvl w:ilvl="1">
      <w:start w:val="1"/>
      <w:numFmt w:val="decimal"/>
      <w:pStyle w:val="ScheduleHeading"/>
      <w:suff w:val="nothing"/>
      <w:lvlText w:val="Schedule %2"/>
      <w:lvlJc w:val="left"/>
      <w:pPr>
        <w:ind w:left="0" w:firstLine="0"/>
      </w:pPr>
    </w:lvl>
    <w:lvl w:ilvl="2">
      <w:start w:val="1"/>
      <w:numFmt w:val="upperLetter"/>
      <w:pStyle w:val="PartSubHeading"/>
      <w:lvlText w:val="%3"/>
      <w:lvlJc w:val="left"/>
      <w:pPr>
        <w:tabs>
          <w:tab w:val="num" w:pos="851"/>
        </w:tabs>
        <w:ind w:left="851" w:hanging="851"/>
      </w:pPr>
    </w:lvl>
    <w:lvl w:ilvl="3">
      <w:start w:val="1"/>
      <w:numFmt w:val="decimal"/>
      <w:pStyle w:val="NumberedList1"/>
      <w:lvlText w:val="%4"/>
      <w:lvlJc w:val="left"/>
      <w:pPr>
        <w:tabs>
          <w:tab w:val="num" w:pos="851"/>
        </w:tabs>
        <w:ind w:left="851" w:hanging="851"/>
      </w:pPr>
      <w:rPr>
        <w:b w:val="0"/>
        <w:i w:val="0"/>
      </w:rPr>
    </w:lvl>
    <w:lvl w:ilvl="4">
      <w:start w:val="1"/>
      <w:numFmt w:val="decimal"/>
      <w:pStyle w:val="NumberedList2"/>
      <w:lvlText w:val="%4.%5"/>
      <w:lvlJc w:val="left"/>
      <w:pPr>
        <w:tabs>
          <w:tab w:val="num" w:pos="851"/>
        </w:tabs>
        <w:ind w:left="851" w:hanging="851"/>
      </w:pPr>
      <w:rPr>
        <w:b w:val="0"/>
        <w:i w:val="0"/>
      </w:rPr>
    </w:lvl>
    <w:lvl w:ilvl="5">
      <w:start w:val="1"/>
      <w:numFmt w:val="decimal"/>
      <w:pStyle w:val="NumberedList3"/>
      <w:lvlText w:val="%4.%5.%6"/>
      <w:lvlJc w:val="left"/>
      <w:pPr>
        <w:tabs>
          <w:tab w:val="num" w:pos="1701"/>
        </w:tabs>
        <w:ind w:left="1701" w:hanging="850"/>
      </w:pPr>
      <w:rPr>
        <w:b w:val="0"/>
        <w:i w:val="0"/>
      </w:rPr>
    </w:lvl>
    <w:lvl w:ilvl="6">
      <w:start w:val="1"/>
      <w:numFmt w:val="lowerLetter"/>
      <w:pStyle w:val="NumberedList4"/>
      <w:lvlText w:val="(%7)"/>
      <w:lvlJc w:val="left"/>
      <w:pPr>
        <w:tabs>
          <w:tab w:val="num" w:pos="2552"/>
        </w:tabs>
        <w:ind w:left="2552" w:hanging="851"/>
      </w:pPr>
      <w:rPr>
        <w:b w:val="0"/>
        <w:i w:val="0"/>
      </w:rPr>
    </w:lvl>
    <w:lvl w:ilvl="7">
      <w:start w:val="1"/>
      <w:numFmt w:val="lowerRoman"/>
      <w:pStyle w:val="NumberedList5"/>
      <w:lvlText w:val="(%8)"/>
      <w:lvlJc w:val="left"/>
      <w:pPr>
        <w:tabs>
          <w:tab w:val="num" w:pos="3402"/>
        </w:tabs>
        <w:ind w:left="3402" w:hanging="850"/>
      </w:pPr>
      <w:rPr>
        <w:b w:val="0"/>
        <w:i w:val="0"/>
      </w:rPr>
    </w:lvl>
    <w:lvl w:ilvl="8">
      <w:start w:val="1"/>
      <w:numFmt w:val="upperLetter"/>
      <w:pStyle w:val="NumberedList6"/>
      <w:lvlText w:val="(%9)"/>
      <w:lvlJc w:val="left"/>
      <w:pPr>
        <w:tabs>
          <w:tab w:val="num" w:pos="4253"/>
        </w:tabs>
        <w:ind w:left="4253" w:hanging="851"/>
      </w:pPr>
      <w:rPr>
        <w:b w:val="0"/>
        <w:i w:val="0"/>
      </w:rPr>
    </w:lvl>
  </w:abstractNum>
  <w:abstractNum w:abstractNumId="4" w15:restartNumberingAfterBreak="0">
    <w:nsid w:val="20411B5F"/>
    <w:multiLevelType w:val="hybridMultilevel"/>
    <w:tmpl w:val="8F0C24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AF7772"/>
    <w:multiLevelType w:val="singleLevel"/>
    <w:tmpl w:val="2E3E4E90"/>
    <w:lvl w:ilvl="0">
      <w:start w:val="1"/>
      <w:numFmt w:val="decimal"/>
      <w:lvlText w:val="(%1)"/>
      <w:lvlJc w:val="left"/>
      <w:pPr>
        <w:tabs>
          <w:tab w:val="num" w:pos="720"/>
        </w:tabs>
        <w:ind w:left="720" w:hanging="720"/>
      </w:pPr>
    </w:lvl>
  </w:abstractNum>
  <w:abstractNum w:abstractNumId="6" w15:restartNumberingAfterBreak="0">
    <w:nsid w:val="28C8459E"/>
    <w:multiLevelType w:val="multilevel"/>
    <w:tmpl w:val="3570549C"/>
    <w:styleLink w:val="RecitalList"/>
    <w:lvl w:ilvl="0">
      <w:start w:val="1"/>
      <w:numFmt w:val="upperLetter"/>
      <w:pStyle w:val="RecitalStyle"/>
      <w:lvlText w:val="(%1)"/>
      <w:lvlJc w:val="left"/>
      <w:pPr>
        <w:tabs>
          <w:tab w:val="num" w:pos="851"/>
        </w:tabs>
        <w:ind w:left="851" w:hanging="851"/>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0A72243"/>
    <w:multiLevelType w:val="hybridMultilevel"/>
    <w:tmpl w:val="C0F894EA"/>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8" w15:restartNumberingAfterBreak="0">
    <w:nsid w:val="38F01A19"/>
    <w:multiLevelType w:val="hybridMultilevel"/>
    <w:tmpl w:val="FC26CB5E"/>
    <w:lvl w:ilvl="0" w:tplc="1A0808AC">
      <w:start w:val="2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081285"/>
    <w:multiLevelType w:val="hybridMultilevel"/>
    <w:tmpl w:val="83EEB58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260CE1"/>
    <w:multiLevelType w:val="multilevel"/>
    <w:tmpl w:val="4C6AD9DA"/>
    <w:lvl w:ilvl="0">
      <w:start w:val="6"/>
      <w:numFmt w:val="decimal"/>
      <w:lvlText w:val="%1."/>
      <w:lvlJc w:val="left"/>
      <w:pPr>
        <w:ind w:left="1215" w:hanging="360"/>
      </w:pPr>
    </w:lvl>
    <w:lvl w:ilvl="1">
      <w:start w:val="1"/>
      <w:numFmt w:val="decimal"/>
      <w:isLgl/>
      <w:lvlText w:val="%1.%2"/>
      <w:lvlJc w:val="left"/>
      <w:pPr>
        <w:ind w:left="1215" w:hanging="360"/>
      </w:pPr>
    </w:lvl>
    <w:lvl w:ilvl="2">
      <w:start w:val="1"/>
      <w:numFmt w:val="decimal"/>
      <w:isLgl/>
      <w:lvlText w:val="%1.%2.%3"/>
      <w:lvlJc w:val="left"/>
      <w:pPr>
        <w:ind w:left="1575" w:hanging="720"/>
      </w:pPr>
    </w:lvl>
    <w:lvl w:ilvl="3">
      <w:start w:val="1"/>
      <w:numFmt w:val="decimal"/>
      <w:isLgl/>
      <w:lvlText w:val="%1.%2.%3.%4"/>
      <w:lvlJc w:val="left"/>
      <w:pPr>
        <w:ind w:left="1575" w:hanging="720"/>
      </w:pPr>
    </w:lvl>
    <w:lvl w:ilvl="4">
      <w:start w:val="1"/>
      <w:numFmt w:val="decimal"/>
      <w:isLgl/>
      <w:lvlText w:val="%1.%2.%3.%4.%5"/>
      <w:lvlJc w:val="left"/>
      <w:pPr>
        <w:ind w:left="1935" w:hanging="1080"/>
      </w:pPr>
    </w:lvl>
    <w:lvl w:ilvl="5">
      <w:start w:val="1"/>
      <w:numFmt w:val="decimal"/>
      <w:isLgl/>
      <w:lvlText w:val="%1.%2.%3.%4.%5.%6"/>
      <w:lvlJc w:val="left"/>
      <w:pPr>
        <w:ind w:left="1935" w:hanging="1080"/>
      </w:pPr>
    </w:lvl>
    <w:lvl w:ilvl="6">
      <w:start w:val="1"/>
      <w:numFmt w:val="decimal"/>
      <w:isLgl/>
      <w:lvlText w:val="%1.%2.%3.%4.%5.%6.%7"/>
      <w:lvlJc w:val="left"/>
      <w:pPr>
        <w:ind w:left="2295" w:hanging="1440"/>
      </w:pPr>
    </w:lvl>
    <w:lvl w:ilvl="7">
      <w:start w:val="1"/>
      <w:numFmt w:val="decimal"/>
      <w:isLgl/>
      <w:lvlText w:val="%1.%2.%3.%4.%5.%6.%7.%8"/>
      <w:lvlJc w:val="left"/>
      <w:pPr>
        <w:ind w:left="2295" w:hanging="1440"/>
      </w:pPr>
    </w:lvl>
    <w:lvl w:ilvl="8">
      <w:start w:val="1"/>
      <w:numFmt w:val="decimal"/>
      <w:isLgl/>
      <w:lvlText w:val="%1.%2.%3.%4.%5.%6.%7.%8.%9"/>
      <w:lvlJc w:val="left"/>
      <w:pPr>
        <w:ind w:left="2655" w:hanging="1800"/>
      </w:pPr>
    </w:lvl>
  </w:abstractNum>
  <w:abstractNum w:abstractNumId="11" w15:restartNumberingAfterBreak="0">
    <w:nsid w:val="3F7F3578"/>
    <w:multiLevelType w:val="multilevel"/>
    <w:tmpl w:val="DC928A92"/>
    <w:styleLink w:val="DefinitionNumbering"/>
    <w:lvl w:ilvl="0">
      <w:start w:val="1"/>
      <w:numFmt w:val="none"/>
      <w:pStyle w:val="Definition"/>
      <w:suff w:val="nothing"/>
      <w:lvlText w:val=""/>
      <w:lvlJc w:val="left"/>
      <w:pPr>
        <w:ind w:left="1211" w:firstLine="0"/>
      </w:pPr>
    </w:lvl>
    <w:lvl w:ilvl="1">
      <w:start w:val="1"/>
      <w:numFmt w:val="lowerLetter"/>
      <w:pStyle w:val="DefinitionLevel1"/>
      <w:lvlText w:val="(%2)"/>
      <w:lvlJc w:val="left"/>
      <w:pPr>
        <w:tabs>
          <w:tab w:val="num" w:pos="2061"/>
        </w:tabs>
        <w:ind w:left="2061" w:hanging="850"/>
      </w:pPr>
    </w:lvl>
    <w:lvl w:ilvl="2">
      <w:start w:val="1"/>
      <w:numFmt w:val="lowerRoman"/>
      <w:pStyle w:val="DefinitionLevel2"/>
      <w:lvlText w:val="(%3)"/>
      <w:lvlJc w:val="left"/>
      <w:pPr>
        <w:tabs>
          <w:tab w:val="num" w:pos="2912"/>
        </w:tabs>
        <w:ind w:left="2912" w:hanging="851"/>
      </w:pPr>
    </w:lvl>
    <w:lvl w:ilvl="3">
      <w:start w:val="1"/>
      <w:numFmt w:val="upperLetter"/>
      <w:pStyle w:val="DefinitionLevel3"/>
      <w:lvlText w:val="(%4)"/>
      <w:lvlJc w:val="left"/>
      <w:pPr>
        <w:tabs>
          <w:tab w:val="num" w:pos="3762"/>
        </w:tabs>
        <w:ind w:left="3762" w:hanging="850"/>
      </w:pPr>
    </w:lvl>
    <w:lvl w:ilvl="4">
      <w:start w:val="1"/>
      <w:numFmt w:val="none"/>
      <w:suff w:val="nothing"/>
      <w:lvlText w:val=""/>
      <w:lvlJc w:val="left"/>
      <w:pPr>
        <w:ind w:left="360" w:firstLine="0"/>
      </w:pPr>
    </w:lvl>
    <w:lvl w:ilvl="5">
      <w:start w:val="1"/>
      <w:numFmt w:val="none"/>
      <w:suff w:val="nothing"/>
      <w:lvlText w:val=""/>
      <w:lvlJc w:val="left"/>
      <w:pPr>
        <w:ind w:left="360" w:firstLine="0"/>
      </w:pPr>
    </w:lvl>
    <w:lvl w:ilvl="6">
      <w:start w:val="1"/>
      <w:numFmt w:val="none"/>
      <w:suff w:val="nothing"/>
      <w:lvlText w:val=""/>
      <w:lvlJc w:val="left"/>
      <w:pPr>
        <w:ind w:left="360" w:firstLine="0"/>
      </w:pPr>
    </w:lvl>
    <w:lvl w:ilvl="7">
      <w:start w:val="1"/>
      <w:numFmt w:val="none"/>
      <w:suff w:val="nothing"/>
      <w:lvlText w:val=""/>
      <w:lvlJc w:val="left"/>
      <w:pPr>
        <w:ind w:left="360" w:firstLine="0"/>
      </w:pPr>
    </w:lvl>
    <w:lvl w:ilvl="8">
      <w:start w:val="1"/>
      <w:numFmt w:val="none"/>
      <w:suff w:val="nothing"/>
      <w:lvlText w:val=""/>
      <w:lvlJc w:val="left"/>
      <w:pPr>
        <w:ind w:left="360" w:firstLine="0"/>
      </w:pPr>
    </w:lvl>
  </w:abstractNum>
  <w:abstractNum w:abstractNumId="12" w15:restartNumberingAfterBreak="0">
    <w:nsid w:val="419B2BDB"/>
    <w:multiLevelType w:val="multilevel"/>
    <w:tmpl w:val="A2AE9CF6"/>
    <w:styleLink w:val="BurnessPaullNumbering"/>
    <w:lvl w:ilvl="0">
      <w:start w:val="1"/>
      <w:numFmt w:val="decimal"/>
      <w:pStyle w:val="BurnessPaullClauseNumbering1"/>
      <w:lvlText w:val="%1"/>
      <w:lvlJc w:val="left"/>
      <w:pPr>
        <w:tabs>
          <w:tab w:val="num" w:pos="851"/>
        </w:tabs>
        <w:ind w:left="851" w:hanging="851"/>
      </w:pPr>
      <w:rPr>
        <w:b w:val="0"/>
        <w:i w:val="0"/>
      </w:rPr>
    </w:lvl>
    <w:lvl w:ilvl="1">
      <w:start w:val="1"/>
      <w:numFmt w:val="decimal"/>
      <w:pStyle w:val="BurnessPaullClauseNumbering2"/>
      <w:lvlText w:val="%1.%2"/>
      <w:lvlJc w:val="left"/>
      <w:pPr>
        <w:tabs>
          <w:tab w:val="num" w:pos="851"/>
        </w:tabs>
        <w:ind w:left="851" w:hanging="851"/>
      </w:pPr>
      <w:rPr>
        <w:b w:val="0"/>
        <w:i w:val="0"/>
      </w:rPr>
    </w:lvl>
    <w:lvl w:ilvl="2">
      <w:start w:val="1"/>
      <w:numFmt w:val="decimal"/>
      <w:pStyle w:val="BurnessPaullClauseNumbering3"/>
      <w:lvlText w:val="%1.%2.%3"/>
      <w:lvlJc w:val="left"/>
      <w:pPr>
        <w:tabs>
          <w:tab w:val="num" w:pos="1701"/>
        </w:tabs>
        <w:ind w:left="1701" w:hanging="850"/>
      </w:pPr>
      <w:rPr>
        <w:b w:val="0"/>
        <w:i w:val="0"/>
      </w:rPr>
    </w:lvl>
    <w:lvl w:ilvl="3">
      <w:start w:val="1"/>
      <w:numFmt w:val="lowerLetter"/>
      <w:pStyle w:val="BurnessPaullClauseNumbering4"/>
      <w:lvlText w:val="(%4)"/>
      <w:lvlJc w:val="left"/>
      <w:pPr>
        <w:tabs>
          <w:tab w:val="num" w:pos="2552"/>
        </w:tabs>
        <w:ind w:left="2552" w:hanging="851"/>
      </w:pPr>
      <w:rPr>
        <w:b w:val="0"/>
        <w:i w:val="0"/>
      </w:rPr>
    </w:lvl>
    <w:lvl w:ilvl="4">
      <w:start w:val="1"/>
      <w:numFmt w:val="lowerRoman"/>
      <w:pStyle w:val="BurnessPaullClauseNumbering5"/>
      <w:lvlText w:val="(%5)"/>
      <w:lvlJc w:val="left"/>
      <w:pPr>
        <w:tabs>
          <w:tab w:val="num" w:pos="3402"/>
        </w:tabs>
        <w:ind w:left="3402" w:hanging="850"/>
      </w:pPr>
      <w:rPr>
        <w:b w:val="0"/>
        <w:i w:val="0"/>
      </w:rPr>
    </w:lvl>
    <w:lvl w:ilvl="5">
      <w:start w:val="1"/>
      <w:numFmt w:val="upperLetter"/>
      <w:pStyle w:val="BurnessPaullClauseNumbering6"/>
      <w:lvlText w:val="(%6)"/>
      <w:lvlJc w:val="left"/>
      <w:pPr>
        <w:tabs>
          <w:tab w:val="num" w:pos="4253"/>
        </w:tabs>
        <w:ind w:left="4253" w:hanging="851"/>
      </w:pPr>
      <w:rPr>
        <w:b w:val="0"/>
        <w:i w:val="0"/>
      </w:rPr>
    </w:lvl>
    <w:lvl w:ilvl="6">
      <w:start w:val="1"/>
      <w:numFmt w:val="none"/>
      <w:lvlText w:val=""/>
      <w:lvlJc w:val="left"/>
      <w:pPr>
        <w:tabs>
          <w:tab w:val="num" w:pos="4253"/>
        </w:tabs>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3" w15:restartNumberingAfterBreak="0">
    <w:nsid w:val="4F6527EA"/>
    <w:multiLevelType w:val="multilevel"/>
    <w:tmpl w:val="7DB28E9C"/>
    <w:lvl w:ilvl="0">
      <w:start w:val="1"/>
      <w:numFmt w:val="decimal"/>
      <w:pStyle w:val="Heading1"/>
      <w:lvlText w:val="%1."/>
      <w:lvlJc w:val="left"/>
      <w:pPr>
        <w:ind w:left="9149"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50C30330"/>
    <w:multiLevelType w:val="hybridMultilevel"/>
    <w:tmpl w:val="72328A1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103A53"/>
    <w:multiLevelType w:val="hybridMultilevel"/>
    <w:tmpl w:val="DCBA7C6A"/>
    <w:lvl w:ilvl="0" w:tplc="0809000F">
      <w:start w:val="2"/>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 w15:restartNumberingAfterBreak="0">
    <w:nsid w:val="56FD5E6A"/>
    <w:multiLevelType w:val="hybridMultilevel"/>
    <w:tmpl w:val="08922C1A"/>
    <w:lvl w:ilvl="0" w:tplc="78D626B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FC16D6"/>
    <w:multiLevelType w:val="hybridMultilevel"/>
    <w:tmpl w:val="9FF8749E"/>
    <w:lvl w:ilvl="0" w:tplc="7608A27E">
      <w:start w:val="1"/>
      <w:numFmt w:val="decimal"/>
      <w:lvlText w:val="%1."/>
      <w:lvlJc w:val="left"/>
      <w:pPr>
        <w:tabs>
          <w:tab w:val="num" w:pos="360"/>
        </w:tabs>
        <w:ind w:left="360" w:hanging="360"/>
      </w:pPr>
      <w:rPr>
        <w:rFonts w:hint="default"/>
        <w:b w:val="0"/>
      </w:rPr>
    </w:lvl>
    <w:lvl w:ilvl="1" w:tplc="04090005">
      <w:start w:val="1"/>
      <w:numFmt w:val="bullet"/>
      <w:lvlText w:val=""/>
      <w:lvlJc w:val="left"/>
      <w:pPr>
        <w:tabs>
          <w:tab w:val="num" w:pos="1080"/>
        </w:tabs>
        <w:ind w:left="1080" w:hanging="360"/>
      </w:pPr>
      <w:rPr>
        <w:rFonts w:ascii="Wingdings" w:hAnsi="Wingdings" w:hint="default"/>
      </w:rPr>
    </w:lvl>
    <w:lvl w:ilvl="2" w:tplc="04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B7028F6"/>
    <w:multiLevelType w:val="hybridMultilevel"/>
    <w:tmpl w:val="64EC4D20"/>
    <w:lvl w:ilvl="0" w:tplc="32FA28DE">
      <w:start w:val="1"/>
      <w:numFmt w:val="bullet"/>
      <w:lvlText w:val="-"/>
      <w:lvlJc w:val="left"/>
      <w:pPr>
        <w:tabs>
          <w:tab w:val="num" w:pos="720"/>
        </w:tabs>
        <w:ind w:left="720" w:hanging="360"/>
      </w:pPr>
      <w:rPr>
        <w:rFonts w:ascii="Arial" w:hAnsi="Arial" w:hint="default"/>
      </w:rPr>
    </w:lvl>
    <w:lvl w:ilvl="1" w:tplc="276E1C30" w:tentative="1">
      <w:start w:val="1"/>
      <w:numFmt w:val="bullet"/>
      <w:lvlText w:val="-"/>
      <w:lvlJc w:val="left"/>
      <w:pPr>
        <w:tabs>
          <w:tab w:val="num" w:pos="1440"/>
        </w:tabs>
        <w:ind w:left="1440" w:hanging="360"/>
      </w:pPr>
      <w:rPr>
        <w:rFonts w:ascii="Arial" w:hAnsi="Arial" w:hint="default"/>
      </w:rPr>
    </w:lvl>
    <w:lvl w:ilvl="2" w:tplc="A83C7D7E" w:tentative="1">
      <w:start w:val="1"/>
      <w:numFmt w:val="bullet"/>
      <w:lvlText w:val="-"/>
      <w:lvlJc w:val="left"/>
      <w:pPr>
        <w:tabs>
          <w:tab w:val="num" w:pos="2160"/>
        </w:tabs>
        <w:ind w:left="2160" w:hanging="360"/>
      </w:pPr>
      <w:rPr>
        <w:rFonts w:ascii="Arial" w:hAnsi="Arial" w:hint="default"/>
      </w:rPr>
    </w:lvl>
    <w:lvl w:ilvl="3" w:tplc="E87C78D2" w:tentative="1">
      <w:start w:val="1"/>
      <w:numFmt w:val="bullet"/>
      <w:lvlText w:val="-"/>
      <w:lvlJc w:val="left"/>
      <w:pPr>
        <w:tabs>
          <w:tab w:val="num" w:pos="2880"/>
        </w:tabs>
        <w:ind w:left="2880" w:hanging="360"/>
      </w:pPr>
      <w:rPr>
        <w:rFonts w:ascii="Arial" w:hAnsi="Arial" w:hint="default"/>
      </w:rPr>
    </w:lvl>
    <w:lvl w:ilvl="4" w:tplc="AA2C0458" w:tentative="1">
      <w:start w:val="1"/>
      <w:numFmt w:val="bullet"/>
      <w:lvlText w:val="-"/>
      <w:lvlJc w:val="left"/>
      <w:pPr>
        <w:tabs>
          <w:tab w:val="num" w:pos="3600"/>
        </w:tabs>
        <w:ind w:left="3600" w:hanging="360"/>
      </w:pPr>
      <w:rPr>
        <w:rFonts w:ascii="Arial" w:hAnsi="Arial" w:hint="default"/>
      </w:rPr>
    </w:lvl>
    <w:lvl w:ilvl="5" w:tplc="F3CA522A" w:tentative="1">
      <w:start w:val="1"/>
      <w:numFmt w:val="bullet"/>
      <w:lvlText w:val="-"/>
      <w:lvlJc w:val="left"/>
      <w:pPr>
        <w:tabs>
          <w:tab w:val="num" w:pos="4320"/>
        </w:tabs>
        <w:ind w:left="4320" w:hanging="360"/>
      </w:pPr>
      <w:rPr>
        <w:rFonts w:ascii="Arial" w:hAnsi="Arial" w:hint="default"/>
      </w:rPr>
    </w:lvl>
    <w:lvl w:ilvl="6" w:tplc="90B63E5E" w:tentative="1">
      <w:start w:val="1"/>
      <w:numFmt w:val="bullet"/>
      <w:lvlText w:val="-"/>
      <w:lvlJc w:val="left"/>
      <w:pPr>
        <w:tabs>
          <w:tab w:val="num" w:pos="5040"/>
        </w:tabs>
        <w:ind w:left="5040" w:hanging="360"/>
      </w:pPr>
      <w:rPr>
        <w:rFonts w:ascii="Arial" w:hAnsi="Arial" w:hint="default"/>
      </w:rPr>
    </w:lvl>
    <w:lvl w:ilvl="7" w:tplc="294A5948" w:tentative="1">
      <w:start w:val="1"/>
      <w:numFmt w:val="bullet"/>
      <w:lvlText w:val="-"/>
      <w:lvlJc w:val="left"/>
      <w:pPr>
        <w:tabs>
          <w:tab w:val="num" w:pos="5760"/>
        </w:tabs>
        <w:ind w:left="5760" w:hanging="360"/>
      </w:pPr>
      <w:rPr>
        <w:rFonts w:ascii="Arial" w:hAnsi="Arial" w:hint="default"/>
      </w:rPr>
    </w:lvl>
    <w:lvl w:ilvl="8" w:tplc="9B72061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CD269A1"/>
    <w:multiLevelType w:val="hybridMultilevel"/>
    <w:tmpl w:val="03948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772528">
    <w:abstractNumId w:val="13"/>
  </w:num>
  <w:num w:numId="2" w16cid:durableId="1246299250">
    <w:abstractNumId w:val="7"/>
  </w:num>
  <w:num w:numId="3" w16cid:durableId="1787775289">
    <w:abstractNumId w:val="8"/>
  </w:num>
  <w:num w:numId="4" w16cid:durableId="130483541">
    <w:abstractNumId w:val="18"/>
  </w:num>
  <w:num w:numId="5" w16cid:durableId="2067219730">
    <w:abstractNumId w:val="2"/>
  </w:num>
  <w:num w:numId="6" w16cid:durableId="596910478">
    <w:abstractNumId w:val="16"/>
  </w:num>
  <w:num w:numId="7" w16cid:durableId="399789484">
    <w:abstractNumId w:val="17"/>
  </w:num>
  <w:num w:numId="8" w16cid:durableId="1924797814">
    <w:abstractNumId w:val="0"/>
    <w:lvlOverride w:ilvl="0">
      <w:lvl w:ilvl="0">
        <w:numFmt w:val="bullet"/>
        <w:lvlText w:val=""/>
        <w:legacy w:legacy="1" w:legacySpace="0" w:legacyIndent="0"/>
        <w:lvlJc w:val="left"/>
        <w:rPr>
          <w:rFonts w:ascii="Symbol" w:hAnsi="Symbol" w:hint="default"/>
          <w:sz w:val="22"/>
        </w:rPr>
      </w:lvl>
    </w:lvlOverride>
  </w:num>
  <w:num w:numId="9" w16cid:durableId="1776947845">
    <w:abstractNumId w:val="19"/>
  </w:num>
  <w:num w:numId="10" w16cid:durableId="1732533559">
    <w:abstractNumId w:val="4"/>
  </w:num>
  <w:num w:numId="11" w16cid:durableId="1464545191">
    <w:abstractNumId w:val="9"/>
  </w:num>
  <w:num w:numId="12" w16cid:durableId="1971280568">
    <w:abstractNumId w:val="1"/>
  </w:num>
  <w:num w:numId="13" w16cid:durableId="540019857">
    <w:abstractNumId w:val="12"/>
  </w:num>
  <w:num w:numId="14" w16cid:durableId="15601639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76856772">
    <w:abstractNumId w:val="6"/>
  </w:num>
  <w:num w:numId="16" w16cid:durableId="731196138">
    <w:abstractNumId w:val="11"/>
  </w:num>
  <w:num w:numId="17" w16cid:durableId="10633285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11721862">
    <w:abstractNumId w:val="3"/>
  </w:num>
  <w:num w:numId="19" w16cid:durableId="437987956">
    <w:abstractNumId w:val="5"/>
    <w:lvlOverride w:ilvl="0">
      <w:startOverride w:val="1"/>
    </w:lvlOverride>
  </w:num>
  <w:num w:numId="20" w16cid:durableId="1404833981">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91322550">
    <w:abstractNumId w:val="12"/>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70869558">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20247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0F3"/>
    <w:rsid w:val="00003815"/>
    <w:rsid w:val="00013E99"/>
    <w:rsid w:val="000323E7"/>
    <w:rsid w:val="00035BE5"/>
    <w:rsid w:val="000466B4"/>
    <w:rsid w:val="00060C5F"/>
    <w:rsid w:val="000635F1"/>
    <w:rsid w:val="00091176"/>
    <w:rsid w:val="00097BBE"/>
    <w:rsid w:val="000A719F"/>
    <w:rsid w:val="000A7F35"/>
    <w:rsid w:val="000B5517"/>
    <w:rsid w:val="000C0FE6"/>
    <w:rsid w:val="000C1EFA"/>
    <w:rsid w:val="000C5B50"/>
    <w:rsid w:val="000D18C2"/>
    <w:rsid w:val="000D65BC"/>
    <w:rsid w:val="000F508C"/>
    <w:rsid w:val="000F5B8B"/>
    <w:rsid w:val="0010386A"/>
    <w:rsid w:val="001129EC"/>
    <w:rsid w:val="00116B1A"/>
    <w:rsid w:val="00131FE5"/>
    <w:rsid w:val="0013601A"/>
    <w:rsid w:val="0014142F"/>
    <w:rsid w:val="00147229"/>
    <w:rsid w:val="00151815"/>
    <w:rsid w:val="001603A8"/>
    <w:rsid w:val="00162840"/>
    <w:rsid w:val="0017349A"/>
    <w:rsid w:val="001906E2"/>
    <w:rsid w:val="00191B9B"/>
    <w:rsid w:val="001A3925"/>
    <w:rsid w:val="001A3CEF"/>
    <w:rsid w:val="001A6BAE"/>
    <w:rsid w:val="001B2CAB"/>
    <w:rsid w:val="001D3054"/>
    <w:rsid w:val="001D3340"/>
    <w:rsid w:val="001D3553"/>
    <w:rsid w:val="001D586C"/>
    <w:rsid w:val="001D6134"/>
    <w:rsid w:val="001D6AC8"/>
    <w:rsid w:val="001E06C5"/>
    <w:rsid w:val="0020119F"/>
    <w:rsid w:val="0020720B"/>
    <w:rsid w:val="002207B5"/>
    <w:rsid w:val="00222165"/>
    <w:rsid w:val="00223946"/>
    <w:rsid w:val="00234C28"/>
    <w:rsid w:val="0023603C"/>
    <w:rsid w:val="00236B30"/>
    <w:rsid w:val="00246AA8"/>
    <w:rsid w:val="00246D61"/>
    <w:rsid w:val="00247332"/>
    <w:rsid w:val="002639A5"/>
    <w:rsid w:val="00266FEE"/>
    <w:rsid w:val="00275DF0"/>
    <w:rsid w:val="00290369"/>
    <w:rsid w:val="002917C2"/>
    <w:rsid w:val="00294F2C"/>
    <w:rsid w:val="002964F8"/>
    <w:rsid w:val="0029665A"/>
    <w:rsid w:val="002B5CF8"/>
    <w:rsid w:val="002E2299"/>
    <w:rsid w:val="002E32BC"/>
    <w:rsid w:val="002E452A"/>
    <w:rsid w:val="002F4E52"/>
    <w:rsid w:val="002F533B"/>
    <w:rsid w:val="003009CC"/>
    <w:rsid w:val="0030449E"/>
    <w:rsid w:val="0032587F"/>
    <w:rsid w:val="00330AC1"/>
    <w:rsid w:val="00332A61"/>
    <w:rsid w:val="00346748"/>
    <w:rsid w:val="003740BD"/>
    <w:rsid w:val="00385A80"/>
    <w:rsid w:val="003A35EB"/>
    <w:rsid w:val="003B513B"/>
    <w:rsid w:val="003D1D2A"/>
    <w:rsid w:val="003D4BA9"/>
    <w:rsid w:val="003E20D5"/>
    <w:rsid w:val="003E2DCC"/>
    <w:rsid w:val="00407AE4"/>
    <w:rsid w:val="00414E87"/>
    <w:rsid w:val="0042013A"/>
    <w:rsid w:val="004260C0"/>
    <w:rsid w:val="004502F1"/>
    <w:rsid w:val="00455C02"/>
    <w:rsid w:val="00483E6B"/>
    <w:rsid w:val="004A1A93"/>
    <w:rsid w:val="004A575E"/>
    <w:rsid w:val="004A647C"/>
    <w:rsid w:val="004B23D7"/>
    <w:rsid w:val="004C0C53"/>
    <w:rsid w:val="004C155C"/>
    <w:rsid w:val="004C60B3"/>
    <w:rsid w:val="004E0658"/>
    <w:rsid w:val="004E59F6"/>
    <w:rsid w:val="005066EB"/>
    <w:rsid w:val="00511A97"/>
    <w:rsid w:val="00514C59"/>
    <w:rsid w:val="00522EE2"/>
    <w:rsid w:val="00524031"/>
    <w:rsid w:val="00526574"/>
    <w:rsid w:val="00530533"/>
    <w:rsid w:val="00531E1F"/>
    <w:rsid w:val="00533118"/>
    <w:rsid w:val="00553080"/>
    <w:rsid w:val="00591CB3"/>
    <w:rsid w:val="00592049"/>
    <w:rsid w:val="00592995"/>
    <w:rsid w:val="005A7BD2"/>
    <w:rsid w:val="005B2B53"/>
    <w:rsid w:val="005C094B"/>
    <w:rsid w:val="005C3F1D"/>
    <w:rsid w:val="005C601D"/>
    <w:rsid w:val="005D0181"/>
    <w:rsid w:val="005D3A98"/>
    <w:rsid w:val="005D3ED2"/>
    <w:rsid w:val="005D4E59"/>
    <w:rsid w:val="005E4BA4"/>
    <w:rsid w:val="005F1A30"/>
    <w:rsid w:val="00600680"/>
    <w:rsid w:val="0060374B"/>
    <w:rsid w:val="00622E97"/>
    <w:rsid w:val="006312DA"/>
    <w:rsid w:val="00655865"/>
    <w:rsid w:val="0066076E"/>
    <w:rsid w:val="00663B7B"/>
    <w:rsid w:val="00690531"/>
    <w:rsid w:val="00690F91"/>
    <w:rsid w:val="00697BB7"/>
    <w:rsid w:val="006A7473"/>
    <w:rsid w:val="006B15E0"/>
    <w:rsid w:val="006B50F3"/>
    <w:rsid w:val="006C2CA1"/>
    <w:rsid w:val="006E2C28"/>
    <w:rsid w:val="007134FC"/>
    <w:rsid w:val="0072282D"/>
    <w:rsid w:val="00726413"/>
    <w:rsid w:val="00730335"/>
    <w:rsid w:val="007513BB"/>
    <w:rsid w:val="00751B38"/>
    <w:rsid w:val="00753C90"/>
    <w:rsid w:val="007543F6"/>
    <w:rsid w:val="007744AB"/>
    <w:rsid w:val="00790210"/>
    <w:rsid w:val="00793BDE"/>
    <w:rsid w:val="00793C44"/>
    <w:rsid w:val="0079444E"/>
    <w:rsid w:val="007A09B6"/>
    <w:rsid w:val="007A177D"/>
    <w:rsid w:val="007A2B83"/>
    <w:rsid w:val="007B0116"/>
    <w:rsid w:val="007B0DEC"/>
    <w:rsid w:val="007C0CBC"/>
    <w:rsid w:val="007C4626"/>
    <w:rsid w:val="007C69A5"/>
    <w:rsid w:val="007C7B28"/>
    <w:rsid w:val="0080319A"/>
    <w:rsid w:val="0080758B"/>
    <w:rsid w:val="00821715"/>
    <w:rsid w:val="008325A0"/>
    <w:rsid w:val="0083423A"/>
    <w:rsid w:val="008436DF"/>
    <w:rsid w:val="008440AA"/>
    <w:rsid w:val="0086243B"/>
    <w:rsid w:val="0086387F"/>
    <w:rsid w:val="008741B5"/>
    <w:rsid w:val="00875297"/>
    <w:rsid w:val="008822C8"/>
    <w:rsid w:val="008B1C33"/>
    <w:rsid w:val="008B2D96"/>
    <w:rsid w:val="008B5CCC"/>
    <w:rsid w:val="008C3A8F"/>
    <w:rsid w:val="008C487B"/>
    <w:rsid w:val="008E2DA5"/>
    <w:rsid w:val="008F2BB9"/>
    <w:rsid w:val="008F677C"/>
    <w:rsid w:val="008F6F1D"/>
    <w:rsid w:val="008F73BF"/>
    <w:rsid w:val="009140DB"/>
    <w:rsid w:val="00925767"/>
    <w:rsid w:val="0094099D"/>
    <w:rsid w:val="0096780A"/>
    <w:rsid w:val="00970465"/>
    <w:rsid w:val="00985F86"/>
    <w:rsid w:val="009C32C5"/>
    <w:rsid w:val="009C7957"/>
    <w:rsid w:val="009D1C50"/>
    <w:rsid w:val="009D3402"/>
    <w:rsid w:val="009D617C"/>
    <w:rsid w:val="009F28C8"/>
    <w:rsid w:val="00A25B84"/>
    <w:rsid w:val="00A36D03"/>
    <w:rsid w:val="00A5271F"/>
    <w:rsid w:val="00A56843"/>
    <w:rsid w:val="00A726B8"/>
    <w:rsid w:val="00A856B8"/>
    <w:rsid w:val="00AB7FF6"/>
    <w:rsid w:val="00AC3006"/>
    <w:rsid w:val="00AC4497"/>
    <w:rsid w:val="00AC6C6C"/>
    <w:rsid w:val="00AD36C1"/>
    <w:rsid w:val="00AF061E"/>
    <w:rsid w:val="00AF3A37"/>
    <w:rsid w:val="00B062DD"/>
    <w:rsid w:val="00B123C3"/>
    <w:rsid w:val="00B260FF"/>
    <w:rsid w:val="00B27169"/>
    <w:rsid w:val="00B3798B"/>
    <w:rsid w:val="00B547E1"/>
    <w:rsid w:val="00B60A81"/>
    <w:rsid w:val="00B63B16"/>
    <w:rsid w:val="00B72437"/>
    <w:rsid w:val="00B748AD"/>
    <w:rsid w:val="00B83C17"/>
    <w:rsid w:val="00BA0485"/>
    <w:rsid w:val="00BC108A"/>
    <w:rsid w:val="00BC3B43"/>
    <w:rsid w:val="00BC7F13"/>
    <w:rsid w:val="00BD079E"/>
    <w:rsid w:val="00BD0EED"/>
    <w:rsid w:val="00BF1D74"/>
    <w:rsid w:val="00BF316C"/>
    <w:rsid w:val="00BF50C2"/>
    <w:rsid w:val="00C0239A"/>
    <w:rsid w:val="00C042A5"/>
    <w:rsid w:val="00C169B1"/>
    <w:rsid w:val="00C230BA"/>
    <w:rsid w:val="00C259F1"/>
    <w:rsid w:val="00C529FD"/>
    <w:rsid w:val="00C62114"/>
    <w:rsid w:val="00C645D4"/>
    <w:rsid w:val="00C711E5"/>
    <w:rsid w:val="00C77099"/>
    <w:rsid w:val="00C77545"/>
    <w:rsid w:val="00C8343B"/>
    <w:rsid w:val="00C83DAF"/>
    <w:rsid w:val="00C8659F"/>
    <w:rsid w:val="00C868F7"/>
    <w:rsid w:val="00C924CB"/>
    <w:rsid w:val="00CA159E"/>
    <w:rsid w:val="00CA4BA9"/>
    <w:rsid w:val="00CA659F"/>
    <w:rsid w:val="00CB1483"/>
    <w:rsid w:val="00CD1761"/>
    <w:rsid w:val="00CE61DF"/>
    <w:rsid w:val="00CF3151"/>
    <w:rsid w:val="00CF7B19"/>
    <w:rsid w:val="00D045C3"/>
    <w:rsid w:val="00D144FC"/>
    <w:rsid w:val="00D20157"/>
    <w:rsid w:val="00D215A0"/>
    <w:rsid w:val="00D2230D"/>
    <w:rsid w:val="00D323AA"/>
    <w:rsid w:val="00D32D02"/>
    <w:rsid w:val="00D451DD"/>
    <w:rsid w:val="00D47F4E"/>
    <w:rsid w:val="00D561D0"/>
    <w:rsid w:val="00D61F10"/>
    <w:rsid w:val="00D67825"/>
    <w:rsid w:val="00D7144A"/>
    <w:rsid w:val="00D760AB"/>
    <w:rsid w:val="00D82989"/>
    <w:rsid w:val="00DA2367"/>
    <w:rsid w:val="00DB37C2"/>
    <w:rsid w:val="00DC50FF"/>
    <w:rsid w:val="00DD1F88"/>
    <w:rsid w:val="00DD50BC"/>
    <w:rsid w:val="00DD5820"/>
    <w:rsid w:val="00DE0025"/>
    <w:rsid w:val="00DE0AE0"/>
    <w:rsid w:val="00DE319A"/>
    <w:rsid w:val="00DE618A"/>
    <w:rsid w:val="00DF157D"/>
    <w:rsid w:val="00E04E77"/>
    <w:rsid w:val="00E20057"/>
    <w:rsid w:val="00E478B4"/>
    <w:rsid w:val="00E5179C"/>
    <w:rsid w:val="00E51D6B"/>
    <w:rsid w:val="00E52CB2"/>
    <w:rsid w:val="00EA23AC"/>
    <w:rsid w:val="00EC0585"/>
    <w:rsid w:val="00ED43D9"/>
    <w:rsid w:val="00ED5A56"/>
    <w:rsid w:val="00EE144C"/>
    <w:rsid w:val="00EE1C9F"/>
    <w:rsid w:val="00EE351E"/>
    <w:rsid w:val="00EF5980"/>
    <w:rsid w:val="00F123F5"/>
    <w:rsid w:val="00F262A1"/>
    <w:rsid w:val="00F359E2"/>
    <w:rsid w:val="00F4412E"/>
    <w:rsid w:val="00F61558"/>
    <w:rsid w:val="00F65D6E"/>
    <w:rsid w:val="00F74117"/>
    <w:rsid w:val="00F86DE8"/>
    <w:rsid w:val="00F9557F"/>
    <w:rsid w:val="00FA0EF4"/>
    <w:rsid w:val="00FB4743"/>
    <w:rsid w:val="00FE5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1AA6B"/>
  <w15:docId w15:val="{1F65A5C6-1805-420A-A988-2C0639583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4"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2DA"/>
    <w:pPr>
      <w:spacing w:after="200" w:line="276" w:lineRule="auto"/>
    </w:pPr>
    <w:rPr>
      <w:sz w:val="22"/>
      <w:szCs w:val="22"/>
      <w:lang w:eastAsia="en-US"/>
    </w:rPr>
  </w:style>
  <w:style w:type="paragraph" w:styleId="Heading1">
    <w:name w:val="heading 1"/>
    <w:basedOn w:val="Normal"/>
    <w:next w:val="Normal"/>
    <w:link w:val="Heading1Char"/>
    <w:uiPriority w:val="9"/>
    <w:qFormat/>
    <w:rsid w:val="006B50F3"/>
    <w:pPr>
      <w:keepNext/>
      <w:keepLines/>
      <w:numPr>
        <w:numId w:val="1"/>
      </w:numPr>
      <w:spacing w:before="120" w:after="120"/>
      <w:ind w:left="357" w:hanging="357"/>
      <w:outlineLvl w:val="0"/>
    </w:pPr>
    <w:rPr>
      <w:rFonts w:ascii="Cambria" w:eastAsia="Times New Roman" w:hAnsi="Cambria"/>
      <w:b/>
      <w:bCs/>
      <w:color w:val="000000"/>
      <w:sz w:val="28"/>
      <w:szCs w:val="28"/>
    </w:rPr>
  </w:style>
  <w:style w:type="paragraph" w:styleId="Heading2">
    <w:name w:val="heading 2"/>
    <w:basedOn w:val="Normal"/>
    <w:next w:val="Normal"/>
    <w:link w:val="Heading2Char"/>
    <w:uiPriority w:val="9"/>
    <w:unhideWhenUsed/>
    <w:qFormat/>
    <w:rsid w:val="00AF3A37"/>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CA159E"/>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50F3"/>
    <w:rPr>
      <w:rFonts w:ascii="Cambria" w:eastAsia="Times New Roman" w:hAnsi="Cambria" w:cs="Times New Roman"/>
      <w:b/>
      <w:bCs/>
      <w:color w:val="000000"/>
      <w:sz w:val="28"/>
      <w:szCs w:val="28"/>
    </w:rPr>
  </w:style>
  <w:style w:type="character" w:customStyle="1" w:styleId="Heading2Char">
    <w:name w:val="Heading 2 Char"/>
    <w:basedOn w:val="DefaultParagraphFont"/>
    <w:link w:val="Heading2"/>
    <w:uiPriority w:val="9"/>
    <w:rsid w:val="00AF3A37"/>
    <w:rPr>
      <w:rFonts w:ascii="Cambria" w:eastAsia="Times New Roman" w:hAnsi="Cambria" w:cs="Times New Roman"/>
      <w:b/>
      <w:bCs/>
      <w:color w:val="4F81BD"/>
      <w:sz w:val="26"/>
      <w:szCs w:val="26"/>
    </w:rPr>
  </w:style>
  <w:style w:type="paragraph" w:styleId="ListParagraph">
    <w:name w:val="List Paragraph"/>
    <w:basedOn w:val="Normal"/>
    <w:uiPriority w:val="34"/>
    <w:qFormat/>
    <w:rsid w:val="00AF3A37"/>
    <w:pPr>
      <w:spacing w:after="0" w:line="300" w:lineRule="atLeast"/>
      <w:ind w:left="720"/>
    </w:pPr>
    <w:rPr>
      <w:rFonts w:ascii="Arial" w:eastAsia="Times New Roman" w:hAnsi="Arial"/>
      <w:sz w:val="21"/>
      <w:szCs w:val="20"/>
      <w:lang w:eastAsia="en-GB"/>
    </w:rPr>
  </w:style>
  <w:style w:type="paragraph" w:styleId="BalloonText">
    <w:name w:val="Balloon Text"/>
    <w:basedOn w:val="Normal"/>
    <w:link w:val="BalloonTextChar"/>
    <w:uiPriority w:val="99"/>
    <w:semiHidden/>
    <w:unhideWhenUsed/>
    <w:rsid w:val="00D714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44A"/>
    <w:rPr>
      <w:rFonts w:ascii="Tahoma" w:hAnsi="Tahoma" w:cs="Tahoma"/>
      <w:sz w:val="16"/>
      <w:szCs w:val="16"/>
    </w:rPr>
  </w:style>
  <w:style w:type="paragraph" w:styleId="Header">
    <w:name w:val="header"/>
    <w:basedOn w:val="Normal"/>
    <w:link w:val="HeaderChar"/>
    <w:uiPriority w:val="99"/>
    <w:unhideWhenUsed/>
    <w:rsid w:val="003740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0BD"/>
  </w:style>
  <w:style w:type="paragraph" w:styleId="Footer">
    <w:name w:val="footer"/>
    <w:basedOn w:val="Normal"/>
    <w:link w:val="FooterChar"/>
    <w:uiPriority w:val="99"/>
    <w:unhideWhenUsed/>
    <w:rsid w:val="003740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0BD"/>
  </w:style>
  <w:style w:type="paragraph" w:styleId="NormalWeb">
    <w:name w:val="Normal (Web)"/>
    <w:basedOn w:val="Normal"/>
    <w:uiPriority w:val="99"/>
    <w:unhideWhenUsed/>
    <w:rsid w:val="0030449E"/>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B123C3"/>
    <w:rPr>
      <w:sz w:val="22"/>
      <w:szCs w:val="22"/>
      <w:lang w:eastAsia="en-US"/>
    </w:rPr>
  </w:style>
  <w:style w:type="character" w:customStyle="1" w:styleId="Heading3Char">
    <w:name w:val="Heading 3 Char"/>
    <w:basedOn w:val="DefaultParagraphFont"/>
    <w:link w:val="Heading3"/>
    <w:uiPriority w:val="9"/>
    <w:semiHidden/>
    <w:rsid w:val="00CA159E"/>
    <w:rPr>
      <w:rFonts w:ascii="Cambria" w:eastAsia="Times New Roman" w:hAnsi="Cambria" w:cs="Times New Roman"/>
      <w:b/>
      <w:bCs/>
      <w:sz w:val="26"/>
      <w:szCs w:val="26"/>
      <w:lang w:eastAsia="en-US"/>
    </w:rPr>
  </w:style>
  <w:style w:type="character" w:styleId="Hyperlink">
    <w:name w:val="Hyperlink"/>
    <w:uiPriority w:val="14"/>
    <w:semiHidden/>
    <w:unhideWhenUsed/>
    <w:rsid w:val="00CA159E"/>
    <w:rPr>
      <w:rFonts w:ascii="Times New Roman" w:hAnsi="Times New Roman" w:cs="Times New Roman" w:hint="default"/>
      <w:color w:val="0563C1"/>
      <w:sz w:val="22"/>
      <w:u w:val="single"/>
    </w:rPr>
  </w:style>
  <w:style w:type="paragraph" w:customStyle="1" w:styleId="BodyText">
    <w:name w:val="Body_Text"/>
    <w:basedOn w:val="Normal"/>
    <w:uiPriority w:val="4"/>
    <w:qFormat/>
    <w:rsid w:val="00CA159E"/>
    <w:pPr>
      <w:spacing w:after="300" w:line="300" w:lineRule="atLeast"/>
      <w:jc w:val="both"/>
    </w:pPr>
    <w:rPr>
      <w:rFonts w:ascii="Times New Roman" w:eastAsia="Times New Roman" w:hAnsi="Times New Roman"/>
      <w:lang w:eastAsia="en-GB"/>
    </w:rPr>
  </w:style>
  <w:style w:type="paragraph" w:customStyle="1" w:styleId="BodyText1">
    <w:name w:val="Body_Text1"/>
    <w:basedOn w:val="BodyText"/>
    <w:uiPriority w:val="4"/>
    <w:rsid w:val="00CA159E"/>
    <w:pPr>
      <w:ind w:left="851"/>
    </w:pPr>
  </w:style>
  <w:style w:type="paragraph" w:customStyle="1" w:styleId="BodyText3">
    <w:name w:val="Body_Text3"/>
    <w:basedOn w:val="BodyText"/>
    <w:uiPriority w:val="4"/>
    <w:rsid w:val="00CA159E"/>
    <w:pPr>
      <w:ind w:left="1701"/>
    </w:pPr>
  </w:style>
  <w:style w:type="paragraph" w:customStyle="1" w:styleId="BurnessPaullClauseNumbering2">
    <w:name w:val="Burness_Paull_Clause_Numbering2"/>
    <w:basedOn w:val="BodyText"/>
    <w:uiPriority w:val="2"/>
    <w:qFormat/>
    <w:rsid w:val="00CA159E"/>
    <w:pPr>
      <w:numPr>
        <w:ilvl w:val="1"/>
        <w:numId w:val="13"/>
      </w:numPr>
    </w:pPr>
  </w:style>
  <w:style w:type="paragraph" w:customStyle="1" w:styleId="BurnessPaullClauseNumbering1">
    <w:name w:val="Burness_Paull_Clause_Numbering1"/>
    <w:basedOn w:val="BodyText"/>
    <w:next w:val="BurnessPaullClauseNumbering2"/>
    <w:uiPriority w:val="2"/>
    <w:qFormat/>
    <w:rsid w:val="00CA159E"/>
    <w:pPr>
      <w:keepNext/>
      <w:numPr>
        <w:numId w:val="13"/>
      </w:numPr>
      <w:outlineLvl w:val="1"/>
    </w:pPr>
    <w:rPr>
      <w:b/>
      <w:caps/>
    </w:rPr>
  </w:style>
  <w:style w:type="paragraph" w:customStyle="1" w:styleId="BurnessPaullClauseNumbering3">
    <w:name w:val="Burness_Paull_Clause_Numbering3"/>
    <w:basedOn w:val="BodyText"/>
    <w:uiPriority w:val="2"/>
    <w:qFormat/>
    <w:rsid w:val="00CA159E"/>
    <w:pPr>
      <w:numPr>
        <w:ilvl w:val="2"/>
        <w:numId w:val="13"/>
      </w:numPr>
    </w:pPr>
  </w:style>
  <w:style w:type="paragraph" w:customStyle="1" w:styleId="BurnessPaullClauseNumbering4">
    <w:name w:val="Burness_Paull_Clause_Numbering4"/>
    <w:basedOn w:val="BodyText"/>
    <w:uiPriority w:val="2"/>
    <w:qFormat/>
    <w:rsid w:val="00CA159E"/>
    <w:pPr>
      <w:numPr>
        <w:ilvl w:val="3"/>
        <w:numId w:val="13"/>
      </w:numPr>
    </w:pPr>
  </w:style>
  <w:style w:type="paragraph" w:customStyle="1" w:styleId="BurnessPaullClauseNumbering5">
    <w:name w:val="Burness_Paull_Clause_Numbering5"/>
    <w:basedOn w:val="BodyText"/>
    <w:uiPriority w:val="2"/>
    <w:qFormat/>
    <w:rsid w:val="00CA159E"/>
    <w:pPr>
      <w:numPr>
        <w:ilvl w:val="4"/>
        <w:numId w:val="13"/>
      </w:numPr>
    </w:pPr>
  </w:style>
  <w:style w:type="paragraph" w:customStyle="1" w:styleId="BurnessPaullClauseNumbering6">
    <w:name w:val="Burness_Paull_Clause_Numbering6"/>
    <w:basedOn w:val="BodyText"/>
    <w:uiPriority w:val="2"/>
    <w:qFormat/>
    <w:rsid w:val="00CA159E"/>
    <w:pPr>
      <w:numPr>
        <w:ilvl w:val="5"/>
        <w:numId w:val="13"/>
      </w:numPr>
    </w:pPr>
  </w:style>
  <w:style w:type="paragraph" w:customStyle="1" w:styleId="RecitalStyle">
    <w:name w:val="Recital_Style"/>
    <w:basedOn w:val="BodyText"/>
    <w:uiPriority w:val="1"/>
    <w:rsid w:val="00CA159E"/>
    <w:pPr>
      <w:numPr>
        <w:numId w:val="15"/>
      </w:numPr>
    </w:pPr>
  </w:style>
  <w:style w:type="paragraph" w:customStyle="1" w:styleId="Definition">
    <w:name w:val="Definition"/>
    <w:basedOn w:val="BodyText"/>
    <w:uiPriority w:val="3"/>
    <w:rsid w:val="00CA159E"/>
    <w:pPr>
      <w:numPr>
        <w:numId w:val="16"/>
      </w:numPr>
    </w:pPr>
  </w:style>
  <w:style w:type="paragraph" w:customStyle="1" w:styleId="DefinitionLevel1">
    <w:name w:val="Definition_Level1"/>
    <w:basedOn w:val="BodyText"/>
    <w:uiPriority w:val="3"/>
    <w:rsid w:val="00CA159E"/>
    <w:pPr>
      <w:numPr>
        <w:ilvl w:val="1"/>
        <w:numId w:val="16"/>
      </w:numPr>
    </w:pPr>
  </w:style>
  <w:style w:type="paragraph" w:customStyle="1" w:styleId="DefinitionLevel2">
    <w:name w:val="Definition_Level2"/>
    <w:basedOn w:val="BodyText"/>
    <w:uiPriority w:val="3"/>
    <w:rsid w:val="00CA159E"/>
    <w:pPr>
      <w:numPr>
        <w:ilvl w:val="2"/>
        <w:numId w:val="16"/>
      </w:numPr>
    </w:pPr>
  </w:style>
  <w:style w:type="paragraph" w:customStyle="1" w:styleId="DefinitionLevel3">
    <w:name w:val="Definition_Level3"/>
    <w:basedOn w:val="BodyText1"/>
    <w:uiPriority w:val="3"/>
    <w:rsid w:val="00CA159E"/>
    <w:pPr>
      <w:numPr>
        <w:ilvl w:val="3"/>
        <w:numId w:val="16"/>
      </w:numPr>
    </w:pPr>
  </w:style>
  <w:style w:type="paragraph" w:customStyle="1" w:styleId="PartHeading">
    <w:name w:val="Part_Heading"/>
    <w:basedOn w:val="BodyText"/>
    <w:next w:val="BodyText"/>
    <w:uiPriority w:val="5"/>
    <w:rsid w:val="00CA159E"/>
    <w:pPr>
      <w:keepNext/>
      <w:numPr>
        <w:numId w:val="18"/>
      </w:numPr>
      <w:jc w:val="center"/>
      <w:outlineLvl w:val="0"/>
    </w:pPr>
    <w:rPr>
      <w:b/>
      <w:caps/>
    </w:rPr>
  </w:style>
  <w:style w:type="paragraph" w:customStyle="1" w:styleId="PartSubHeading">
    <w:name w:val="Part_Sub_Heading"/>
    <w:basedOn w:val="BodyText"/>
    <w:next w:val="BodyText"/>
    <w:uiPriority w:val="6"/>
    <w:rsid w:val="00CA159E"/>
    <w:pPr>
      <w:keepNext/>
      <w:numPr>
        <w:ilvl w:val="2"/>
        <w:numId w:val="18"/>
      </w:numPr>
      <w:jc w:val="left"/>
    </w:pPr>
    <w:rPr>
      <w:b/>
      <w:caps/>
    </w:rPr>
  </w:style>
  <w:style w:type="paragraph" w:customStyle="1" w:styleId="ScheduleHeading">
    <w:name w:val="Schedule_Heading"/>
    <w:basedOn w:val="BodyText"/>
    <w:next w:val="BodyText"/>
    <w:uiPriority w:val="5"/>
    <w:rsid w:val="00CA159E"/>
    <w:pPr>
      <w:keepNext/>
      <w:numPr>
        <w:ilvl w:val="1"/>
        <w:numId w:val="18"/>
      </w:numPr>
      <w:jc w:val="center"/>
      <w:outlineLvl w:val="0"/>
    </w:pPr>
    <w:rPr>
      <w:b/>
      <w:caps/>
    </w:rPr>
  </w:style>
  <w:style w:type="paragraph" w:customStyle="1" w:styleId="NumberedList1">
    <w:name w:val="Numbered_List1"/>
    <w:basedOn w:val="BodyText"/>
    <w:uiPriority w:val="7"/>
    <w:qFormat/>
    <w:rsid w:val="00CA159E"/>
    <w:pPr>
      <w:numPr>
        <w:ilvl w:val="3"/>
        <w:numId w:val="18"/>
      </w:numPr>
    </w:pPr>
  </w:style>
  <w:style w:type="paragraph" w:customStyle="1" w:styleId="NumberedList2">
    <w:name w:val="Numbered_List2"/>
    <w:basedOn w:val="BodyText"/>
    <w:uiPriority w:val="7"/>
    <w:qFormat/>
    <w:rsid w:val="00CA159E"/>
    <w:pPr>
      <w:numPr>
        <w:ilvl w:val="4"/>
        <w:numId w:val="18"/>
      </w:numPr>
    </w:pPr>
  </w:style>
  <w:style w:type="paragraph" w:customStyle="1" w:styleId="NumberedList3">
    <w:name w:val="Numbered_List3"/>
    <w:basedOn w:val="BodyText"/>
    <w:uiPriority w:val="7"/>
    <w:qFormat/>
    <w:rsid w:val="00CA159E"/>
    <w:pPr>
      <w:numPr>
        <w:ilvl w:val="5"/>
        <w:numId w:val="18"/>
      </w:numPr>
    </w:pPr>
  </w:style>
  <w:style w:type="paragraph" w:customStyle="1" w:styleId="NumberedList4">
    <w:name w:val="Numbered_List4"/>
    <w:basedOn w:val="BodyText"/>
    <w:uiPriority w:val="7"/>
    <w:qFormat/>
    <w:rsid w:val="00CA159E"/>
    <w:pPr>
      <w:numPr>
        <w:ilvl w:val="6"/>
        <w:numId w:val="18"/>
      </w:numPr>
    </w:pPr>
  </w:style>
  <w:style w:type="paragraph" w:customStyle="1" w:styleId="NumberedList5">
    <w:name w:val="Numbered_List5"/>
    <w:basedOn w:val="BodyText"/>
    <w:uiPriority w:val="7"/>
    <w:qFormat/>
    <w:rsid w:val="00CA159E"/>
    <w:pPr>
      <w:numPr>
        <w:ilvl w:val="7"/>
        <w:numId w:val="18"/>
      </w:numPr>
    </w:pPr>
  </w:style>
  <w:style w:type="paragraph" w:customStyle="1" w:styleId="NumberedList6">
    <w:name w:val="Numbered_List6"/>
    <w:basedOn w:val="BodyText"/>
    <w:uiPriority w:val="7"/>
    <w:qFormat/>
    <w:rsid w:val="00CA159E"/>
    <w:pPr>
      <w:numPr>
        <w:ilvl w:val="8"/>
        <w:numId w:val="18"/>
      </w:numPr>
    </w:pPr>
  </w:style>
  <w:style w:type="numbering" w:customStyle="1" w:styleId="BurnessPaullNumbering">
    <w:name w:val="Burness_Paull_Numbering"/>
    <w:uiPriority w:val="99"/>
    <w:rsid w:val="00CA159E"/>
    <w:pPr>
      <w:numPr>
        <w:numId w:val="13"/>
      </w:numPr>
    </w:pPr>
  </w:style>
  <w:style w:type="numbering" w:customStyle="1" w:styleId="RecitalList">
    <w:name w:val="Recital_List"/>
    <w:uiPriority w:val="99"/>
    <w:rsid w:val="00CA159E"/>
    <w:pPr>
      <w:numPr>
        <w:numId w:val="15"/>
      </w:numPr>
    </w:pPr>
  </w:style>
  <w:style w:type="numbering" w:customStyle="1" w:styleId="DefinitionNumbering">
    <w:name w:val="Definition_Numbering"/>
    <w:rsid w:val="00CA159E"/>
    <w:pPr>
      <w:numPr>
        <w:numId w:val="16"/>
      </w:numPr>
    </w:pPr>
  </w:style>
  <w:style w:type="numbering" w:customStyle="1" w:styleId="SchedulePart">
    <w:name w:val="Schedule_Part"/>
    <w:uiPriority w:val="99"/>
    <w:rsid w:val="00CA159E"/>
    <w:pPr>
      <w:numPr>
        <w:numId w:val="18"/>
      </w:numPr>
    </w:pPr>
  </w:style>
  <w:style w:type="paragraph" w:styleId="Revision">
    <w:name w:val="Revision"/>
    <w:hidden/>
    <w:uiPriority w:val="99"/>
    <w:semiHidden/>
    <w:rsid w:val="000C0FE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194620">
      <w:bodyDiv w:val="1"/>
      <w:marLeft w:val="0"/>
      <w:marRight w:val="0"/>
      <w:marTop w:val="0"/>
      <w:marBottom w:val="0"/>
      <w:divBdr>
        <w:top w:val="none" w:sz="0" w:space="0" w:color="auto"/>
        <w:left w:val="none" w:sz="0" w:space="0" w:color="auto"/>
        <w:bottom w:val="none" w:sz="0" w:space="0" w:color="auto"/>
        <w:right w:val="none" w:sz="0" w:space="0" w:color="auto"/>
      </w:divBdr>
    </w:div>
    <w:div w:id="456341958">
      <w:bodyDiv w:val="1"/>
      <w:marLeft w:val="0"/>
      <w:marRight w:val="0"/>
      <w:marTop w:val="0"/>
      <w:marBottom w:val="0"/>
      <w:divBdr>
        <w:top w:val="none" w:sz="0" w:space="0" w:color="auto"/>
        <w:left w:val="none" w:sz="0" w:space="0" w:color="auto"/>
        <w:bottom w:val="none" w:sz="0" w:space="0" w:color="auto"/>
        <w:right w:val="none" w:sz="0" w:space="0" w:color="auto"/>
      </w:divBdr>
    </w:div>
    <w:div w:id="653224844">
      <w:bodyDiv w:val="1"/>
      <w:marLeft w:val="0"/>
      <w:marRight w:val="0"/>
      <w:marTop w:val="0"/>
      <w:marBottom w:val="0"/>
      <w:divBdr>
        <w:top w:val="none" w:sz="0" w:space="0" w:color="auto"/>
        <w:left w:val="none" w:sz="0" w:space="0" w:color="auto"/>
        <w:bottom w:val="none" w:sz="0" w:space="0" w:color="auto"/>
        <w:right w:val="none" w:sz="0" w:space="0" w:color="auto"/>
      </w:divBdr>
    </w:div>
    <w:div w:id="1088311718">
      <w:bodyDiv w:val="1"/>
      <w:marLeft w:val="0"/>
      <w:marRight w:val="0"/>
      <w:marTop w:val="0"/>
      <w:marBottom w:val="0"/>
      <w:divBdr>
        <w:top w:val="none" w:sz="0" w:space="0" w:color="auto"/>
        <w:left w:val="none" w:sz="0" w:space="0" w:color="auto"/>
        <w:bottom w:val="none" w:sz="0" w:space="0" w:color="auto"/>
        <w:right w:val="none" w:sz="0" w:space="0" w:color="auto"/>
      </w:divBdr>
    </w:div>
    <w:div w:id="1325278237">
      <w:bodyDiv w:val="1"/>
      <w:marLeft w:val="0"/>
      <w:marRight w:val="0"/>
      <w:marTop w:val="0"/>
      <w:marBottom w:val="0"/>
      <w:divBdr>
        <w:top w:val="none" w:sz="0" w:space="0" w:color="auto"/>
        <w:left w:val="none" w:sz="0" w:space="0" w:color="auto"/>
        <w:bottom w:val="none" w:sz="0" w:space="0" w:color="auto"/>
        <w:right w:val="none" w:sz="0" w:space="0" w:color="auto"/>
      </w:divBdr>
    </w:div>
    <w:div w:id="1330910776">
      <w:bodyDiv w:val="1"/>
      <w:marLeft w:val="0"/>
      <w:marRight w:val="0"/>
      <w:marTop w:val="0"/>
      <w:marBottom w:val="0"/>
      <w:divBdr>
        <w:top w:val="none" w:sz="0" w:space="0" w:color="auto"/>
        <w:left w:val="none" w:sz="0" w:space="0" w:color="auto"/>
        <w:bottom w:val="none" w:sz="0" w:space="0" w:color="auto"/>
        <w:right w:val="none" w:sz="0" w:space="0" w:color="auto"/>
      </w:divBdr>
    </w:div>
    <w:div w:id="197054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NOC_Operations@slc.co.uk" TargetMode="External"/><Relationship Id="rId4" Type="http://schemas.openxmlformats.org/officeDocument/2006/relationships/settings" Target="settings.xml"/><Relationship Id="rId9" Type="http://schemas.openxmlformats.org/officeDocument/2006/relationships/hyperlink" Target="mailto:subject_access_request@slc.co.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E15325-E03D-4624-9410-BC2ECF121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14</Pages>
  <Words>3766</Words>
  <Characters>21468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The Student Loans Company</Company>
  <LinksUpToDate>false</LinksUpToDate>
  <CharactersWithSpaces>25184</CharactersWithSpaces>
  <SharedDoc>false</SharedDoc>
  <HLinks>
    <vt:vector size="12" baseType="variant">
      <vt:variant>
        <vt:i4>1769549</vt:i4>
      </vt:variant>
      <vt:variant>
        <vt:i4>6</vt:i4>
      </vt:variant>
      <vt:variant>
        <vt:i4>0</vt:i4>
      </vt:variant>
      <vt:variant>
        <vt:i4>5</vt:i4>
      </vt:variant>
      <vt:variant>
        <vt:lpwstr>mailto:NOC_Operations@slc.co.uk</vt:lpwstr>
      </vt:variant>
      <vt:variant>
        <vt:lpwstr/>
      </vt:variant>
      <vt:variant>
        <vt:i4>3604563</vt:i4>
      </vt:variant>
      <vt:variant>
        <vt:i4>3</vt:i4>
      </vt:variant>
      <vt:variant>
        <vt:i4>0</vt:i4>
      </vt:variant>
      <vt:variant>
        <vt:i4>5</vt:i4>
      </vt:variant>
      <vt:variant>
        <vt:lpwstr>mailto:subject_access_request@slc.co.uk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smithp</dc:creator>
  <cp:lastModifiedBy>Sarah Dunn</cp:lastModifiedBy>
  <cp:revision>16</cp:revision>
  <cp:lastPrinted>2024-05-21T11:53:00Z</cp:lastPrinted>
  <dcterms:created xsi:type="dcterms:W3CDTF">2025-04-08T15:04:00Z</dcterms:created>
  <dcterms:modified xsi:type="dcterms:W3CDTF">2025-09-10T08:37:00Z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bd37d9-d9ac-4b79-83be-bb7da6ab464c_Enabled">
    <vt:lpwstr>true</vt:lpwstr>
  </property>
  <property fmtid="{D5CDD505-2E9C-101B-9397-08002B2CF9AE}" pid="3" name="MSIP_Label_7bbd37d9-d9ac-4b79-83be-bb7da6ab464c_SetDate">
    <vt:lpwstr>2022-01-12T15:01:21Z</vt:lpwstr>
  </property>
  <property fmtid="{D5CDD505-2E9C-101B-9397-08002B2CF9AE}" pid="4" name="MSIP_Label_7bbd37d9-d9ac-4b79-83be-bb7da6ab464c_Method">
    <vt:lpwstr>Privileged</vt:lpwstr>
  </property>
  <property fmtid="{D5CDD505-2E9C-101B-9397-08002B2CF9AE}" pid="5" name="MSIP_Label_7bbd37d9-d9ac-4b79-83be-bb7da6ab464c_Name">
    <vt:lpwstr>OFFICIAL</vt:lpwstr>
  </property>
  <property fmtid="{D5CDD505-2E9C-101B-9397-08002B2CF9AE}" pid="6" name="MSIP_Label_7bbd37d9-d9ac-4b79-83be-bb7da6ab464c_SiteId">
    <vt:lpwstr>4c6898a9-8fca-42f9-aa92-82cb3e252bc6</vt:lpwstr>
  </property>
  <property fmtid="{D5CDD505-2E9C-101B-9397-08002B2CF9AE}" pid="7" name="MSIP_Label_7bbd37d9-d9ac-4b79-83be-bb7da6ab464c_ActionId">
    <vt:lpwstr>478b6825-529e-43e3-9bd5-00000dcbafc5</vt:lpwstr>
  </property>
  <property fmtid="{D5CDD505-2E9C-101B-9397-08002B2CF9AE}" pid="8" name="MSIP_Label_7bbd37d9-d9ac-4b79-83be-bb7da6ab464c_ContentBits">
    <vt:lpwstr>3</vt:lpwstr>
  </property>
</Properties>
</file>